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4C1DE8">
      <w:pPr>
        <w:jc w:val="center"/>
      </w:pPr>
      <w:r>
        <w:rPr>
          <w:b/>
          <w:sz w:val="32"/>
        </w:rPr>
        <w:t>1019-1023工作进展</w:t>
      </w:r>
    </w:p>
    <w:p w14:paraId="32CC7745">
      <w:r>
        <w:rPr>
          <w:b/>
          <w:sz w:val="26"/>
        </w:rPr>
        <w:t>一、本周工作内容</w:t>
      </w:r>
    </w:p>
    <w:p w14:paraId="65476D17">
      <w:pPr>
        <w:spacing w:line="360" w:lineRule="auto"/>
      </w:pPr>
      <w:r>
        <w:rPr>
          <w:sz w:val="22"/>
        </w:rPr>
        <w:t>1. 落地注意力引导裁图（attncrop / default_v4）追问链路：对困难样本读取决策 token 在中深层的注意力，经去 sink、质量门控与最大连通域提取后外扩成正方形框，再用 EG-RoI 多视图方式从原图裁出高保真 ROI，把 default_v2 清单改在裁剪视图上重问一遍，最终仍由 VLM 的 A/B 证据硬计票决定。</w:t>
      </w:r>
    </w:p>
    <w:p w14:paraId="76342FBD">
      <w:pPr>
        <w:spacing w:line="360" w:lineRule="auto"/>
      </w:pPr>
      <w:r>
        <w:rPr>
          <w:sz w:val="22"/>
        </w:rPr>
        <w:t>2. 新增 ReAL 风格裁图变体（real）：</w:t>
      </w:r>
      <w:r>
        <w:rPr>
          <w:rFonts w:hint="eastAsia"/>
          <w:sz w:val="22"/>
          <w:lang w:val="en-US" w:eastAsia="zh-CN"/>
        </w:rPr>
        <w:t>测试时</w:t>
      </w:r>
      <w:r>
        <w:rPr>
          <w:sz w:val="22"/>
        </w:rPr>
        <w:t>生成</w:t>
      </w:r>
      <w:r>
        <w:rPr>
          <w:rFonts w:hint="eastAsia"/>
          <w:sz w:val="22"/>
          <w:lang w:val="en-US" w:eastAsia="zh-CN"/>
        </w:rPr>
        <w:t>长文本</w:t>
      </w:r>
      <w:r>
        <w:rPr>
          <w:sz w:val="22"/>
        </w:rPr>
        <w:t>推理文本，再从推理</w:t>
      </w:r>
      <w:r>
        <w:rPr>
          <w:rFonts w:hint="eastAsia"/>
          <w:sz w:val="22"/>
          <w:lang w:val="en-US" w:eastAsia="zh-CN"/>
        </w:rPr>
        <w:t>长文本</w:t>
      </w:r>
      <w:r>
        <w:rPr>
          <w:sz w:val="22"/>
        </w:rPr>
        <w:t xml:space="preserve"> token 的注意力中筛选语义相关（S_T）与空间集中（S_I）的 token，加权聚合得到热力图并提取裁剪框，对裁图</w:t>
      </w:r>
      <w:r>
        <w:rPr>
          <w:rFonts w:hint="eastAsia"/>
          <w:sz w:val="22"/>
          <w:lang w:val="en-US" w:eastAsia="zh-CN"/>
        </w:rPr>
        <w:t>按照此前范式</w:t>
      </w:r>
      <w:r>
        <w:rPr>
          <w:sz w:val="22"/>
        </w:rPr>
        <w:t>做 H_A/H_B 重问，仅在票差足够时翻转原答案。在 MVTec AD 全量（1725 张）上完成 attncrop 对照评测，并可视化注意力热力图与裁剪框，核对框是否落在缺陷附近。</w:t>
      </w:r>
    </w:p>
    <w:p w14:paraId="5AE9037A">
      <w:pPr>
        <w:spacing w:line="360" w:lineRule="auto"/>
      </w:pPr>
      <w:r>
        <w:rPr>
          <w:b/>
          <w:sz w:val="26"/>
        </w:rPr>
        <w:t>二、实验内容及说明</w:t>
      </w:r>
    </w:p>
    <w:p w14:paraId="7FE287AD">
      <w:pPr>
        <w:spacing w:line="360" w:lineRule="auto"/>
      </w:pPr>
      <w:r>
        <w:rPr>
          <w:b/>
          <w:sz w:val="22"/>
        </w:rPr>
        <w:t>1. attncrop 实验设置与结果</w:t>
      </w:r>
    </w:p>
    <w:p w14:paraId="1D5E1570">
      <w:pPr>
        <w:spacing w:line="360" w:lineRule="auto"/>
        <w:ind w:firstLine="420" w:firstLineChars="0"/>
        <w:rPr>
          <w:sz w:val="22"/>
        </w:rPr>
      </w:pPr>
      <w:r>
        <w:rPr>
          <w:sz w:val="22"/>
        </w:rPr>
        <w:t>注意力在本方案中只负责“给框”，不做裁判，且全程不读取 musc_scores。全量结果上，ecprloss 权重下的 attncrop 平均准确率约 0.9398、召回约 0.9496、正常类正确率约 0.9128；相对不裁图的 default_v2 基线（准确率约 0.9331、召回约 0.9412、正常类正确率约 0.9130）仅有小幅提升，正常类正确率基本持平。困难类上改善有限：pill 的正常类正确率约从 0.577 提到 0.615，transistor 约 0.800，bottle 约 0.850，仍明显低于 carpet、leather、wood 等简单类。说明裁图</w:t>
      </w:r>
      <w:r>
        <w:rPr>
          <w:rFonts w:hint="eastAsia"/>
          <w:sz w:val="22"/>
          <w:lang w:val="en-US" w:eastAsia="zh-CN"/>
        </w:rPr>
        <w:t>效果有限</w:t>
      </w:r>
      <w:r>
        <w:rPr>
          <w:sz w:val="22"/>
        </w:rPr>
        <w:t>。</w:t>
      </w:r>
    </w:p>
    <w:p w14:paraId="54E95719">
      <w:pPr>
        <w:spacing w:line="360" w:lineRule="auto"/>
        <w:rPr>
          <w:sz w:val="22"/>
        </w:rPr>
      </w:pPr>
      <w:r>
        <w:drawing>
          <wp:inline distT="0" distB="0" distL="114300" distR="114300">
            <wp:extent cx="5371465" cy="2658745"/>
            <wp:effectExtent l="0" t="0" r="635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71465" cy="265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A6532">
      <w:pPr>
        <w:spacing w:line="360" w:lineRule="auto"/>
      </w:pPr>
      <w:r>
        <w:rPr>
          <w:b/>
          <w:sz w:val="22"/>
        </w:rPr>
        <w:t>2. 注意力质量诊断</w:t>
      </w:r>
    </w:p>
    <w:p w14:paraId="777AA07C">
      <w:pPr>
        <w:spacing w:line="360" w:lineRule="auto"/>
        <w:ind w:firstLine="420" w:firstLineChars="0"/>
        <w:rPr>
          <w:rFonts w:hint="default" w:eastAsiaTheme="minorEastAsia"/>
          <w:lang w:val="en-US" w:eastAsia="zh-CN"/>
        </w:rPr>
      </w:pPr>
      <w:r>
        <w:rPr>
          <w:sz w:val="22"/>
        </w:rPr>
        <w:t>可视化作答时刻中深层对图像的注意力分布后发现，相当一部分注意力分配给视觉标记的比例并不高。注意力与真实缺陷掩膜的空间重叠普遍</w:t>
      </w:r>
      <w:r>
        <w:rPr>
          <w:rFonts w:hint="eastAsia"/>
          <w:sz w:val="22"/>
          <w:lang w:val="en-US" w:eastAsia="zh-CN"/>
        </w:rPr>
        <w:t>较低</w:t>
      </w:r>
      <w:r>
        <w:rPr>
          <w:sz w:val="22"/>
        </w:rPr>
        <w:t>，热力图峰值经常落在背景、边缘或与缺陷无关的区域，而不是缺陷像素。经去 sink、取最大连通域并外扩后，新选裁剪框质量较差：部分框过大或偏移，部分框完全错过缺陷；conc_floor 质量门控会把大量弥散图判定为 diffuse 而回退到全图路径，实际有效裁图比例有限。因此把注意力框直接作为追问输入，并不能稳定提升正常类正确率；遮挡缺陷区的对照也未显示异常判定显著下降。结论是：当前模型的注意力不是可靠的缺陷定位器，不能将其作为裁剪框来源来声称建立了对可见缺陷证据的依赖。</w:t>
      </w:r>
      <w:r>
        <w:rPr>
          <w:rFonts w:hint="eastAsia"/>
          <w:sz w:val="22"/>
          <w:lang w:val="en-US" w:eastAsia="zh-CN"/>
        </w:rPr>
        <w:t>如同此前注意力诊断，仍然存在大量如下图</w:t>
      </w:r>
      <w:bookmarkStart w:id="0" w:name="_GoBack"/>
      <w:bookmarkEnd w:id="0"/>
      <w:r>
        <w:rPr>
          <w:rFonts w:hint="eastAsia"/>
          <w:sz w:val="22"/>
          <w:lang w:val="en-US" w:eastAsia="zh-CN"/>
        </w:rPr>
        <w:t>无峰值，或集中于边角等情况。</w:t>
      </w:r>
    </w:p>
    <w:p w14:paraId="2E662759">
      <w:pPr>
        <w:spacing w:line="360" w:lineRule="auto"/>
        <w:ind w:left="1680" w:leftChars="0" w:firstLine="420" w:firstLineChars="0"/>
        <w:rPr>
          <w:rFonts w:hint="eastAsia" w:eastAsiaTheme="minorEastAsia"/>
          <w:lang w:eastAsia="zh-CN"/>
        </w:rPr>
      </w:pPr>
      <w:r>
        <w:rPr>
          <w:sz w:val="20"/>
        </w:rPr>
        <w:t>图为 attncrop 注意力热力图与裁剪框示例</w:t>
      </w:r>
      <w:r>
        <w:rPr>
          <w:rFonts w:hint="eastAsia"/>
          <w:sz w:val="20"/>
          <w:lang w:eastAsia="zh-CN"/>
        </w:rPr>
        <w:t>（</w:t>
      </w:r>
      <w:r>
        <w:rPr>
          <w:rFonts w:hint="eastAsia"/>
          <w:sz w:val="20"/>
          <w:lang w:val="en-US" w:eastAsia="zh-CN"/>
        </w:rPr>
        <w:t>实际有调整框大小</w:t>
      </w:r>
      <w:r>
        <w:rPr>
          <w:rFonts w:hint="eastAsia"/>
          <w:sz w:val="20"/>
          <w:lang w:eastAsia="zh-CN"/>
        </w:rPr>
        <w:t>）</w:t>
      </w:r>
    </w:p>
    <w:p w14:paraId="1C55EE83">
      <w:r>
        <w:drawing>
          <wp:inline distT="0" distB="0" distL="0" distR="0">
            <wp:extent cx="5804535" cy="2063750"/>
            <wp:effectExtent l="0" t="0" r="5715" b="0"/>
            <wp:docPr id="6054483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448345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09814" cy="2065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F4057">
      <w:pPr>
        <w:rPr>
          <w:rFonts w:hint="eastAsia" w:eastAsiaTheme="minorEastAsia"/>
          <w:lang w:val="en-US" w:eastAsia="zh-CN"/>
        </w:rPr>
      </w:pPr>
    </w:p>
    <w:p w14:paraId="0084828D">
      <w:pPr>
        <w:spacing w:line="360" w:lineRule="auto"/>
        <w:rPr>
          <w:rFonts w:hint="default" w:eastAsiaTheme="minorEastAsia"/>
          <w:lang w:val="en-US" w:eastAsia="zh-CN"/>
        </w:rPr>
      </w:pPr>
      <w:r>
        <w:rPr>
          <w:b/>
          <w:sz w:val="22"/>
        </w:rPr>
        <w:t>3. ReAL 变体</w:t>
      </w:r>
      <w:r>
        <w:rPr>
          <w:rFonts w:hint="eastAsia"/>
          <w:b/>
          <w:sz w:val="22"/>
          <w:lang w:val="en-US" w:eastAsia="zh-CN"/>
        </w:rPr>
        <w:t>/LLM候选框裁图等</w:t>
      </w:r>
    </w:p>
    <w:p w14:paraId="26756021">
      <w:pPr>
        <w:spacing w:line="360" w:lineRule="auto"/>
        <w:ind w:firstLine="420" w:firstLineChars="0"/>
        <w:rPr>
          <w:rFonts w:hint="eastAsia" w:eastAsiaTheme="minorEastAsia"/>
          <w:lang w:eastAsia="zh-CN"/>
        </w:rPr>
      </w:pPr>
      <w:r>
        <w:rPr>
          <w:sz w:val="22"/>
        </w:rPr>
        <w:t>尝试用推理 token 注意力替代单一决策 token，并加入语义锚点与集中度筛选。</w:t>
      </w:r>
      <w:r>
        <w:rPr>
          <w:rFonts w:hint="eastAsia"/>
          <w:sz w:val="22"/>
          <w:lang w:val="en-US" w:eastAsia="zh-CN"/>
        </w:rPr>
        <w:t>尝试如用prompt让LLM自提出裁图框框。</w:t>
      </w:r>
      <w:r>
        <w:rPr>
          <w:sz w:val="22"/>
        </w:rPr>
        <w:t>工程上可运行，但同样受限于注意力不落缺陷区域</w:t>
      </w:r>
      <w:r>
        <w:rPr>
          <w:rFonts w:hint="eastAsia"/>
          <w:sz w:val="22"/>
          <w:lang w:val="en-US" w:eastAsia="zh-CN"/>
        </w:rPr>
        <w:t>以及LLM自身难以直接提出真正可疑区域</w:t>
      </w:r>
      <w:r>
        <w:rPr>
          <w:sz w:val="22"/>
        </w:rPr>
        <w:t>；暂未看到稳定的收益</w:t>
      </w:r>
      <w:r>
        <w:rPr>
          <w:rFonts w:hint="eastAsia"/>
          <w:sz w:val="22"/>
          <w:lang w:eastAsia="zh-CN"/>
        </w:rPr>
        <w:t>。</w:t>
      </w:r>
    </w:p>
    <w:p w14:paraId="47F796AD">
      <w:pPr>
        <w:spacing w:line="360" w:lineRule="auto"/>
      </w:pPr>
      <w:r>
        <w:rPr>
          <w:b/>
          <w:sz w:val="26"/>
        </w:rPr>
        <w:t>三、下周计划</w:t>
      </w:r>
    </w:p>
    <w:p w14:paraId="1BA5449B">
      <w:pPr>
        <w:spacing w:line="360" w:lineRule="auto"/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修改attention的几层平均提取方式，利用推理token中真正关注可疑区域的做裁图再追问。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ab/>
        <w:t>根据大调研情况，做可解释性文本，工具调用，类TTT储存历史决策方案等优化推理质量任务或非二分类任务的尝试。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2380"/>
    <w:rsid w:val="00133716"/>
    <w:rsid w:val="00646213"/>
    <w:rsid w:val="008E2A0E"/>
    <w:rsid w:val="00A12380"/>
    <w:rsid w:val="00B96293"/>
    <w:rsid w:val="00DC6F74"/>
    <w:rsid w:val="00E3126C"/>
    <w:rsid w:val="010158D6"/>
    <w:rsid w:val="03465822"/>
    <w:rsid w:val="03990047"/>
    <w:rsid w:val="060C2D53"/>
    <w:rsid w:val="06D240F3"/>
    <w:rsid w:val="078A03D3"/>
    <w:rsid w:val="07972AF0"/>
    <w:rsid w:val="08793FA4"/>
    <w:rsid w:val="088C1F29"/>
    <w:rsid w:val="0A3D172D"/>
    <w:rsid w:val="0B6E3B68"/>
    <w:rsid w:val="0D6E51A3"/>
    <w:rsid w:val="0D7F02AE"/>
    <w:rsid w:val="0E7B0A75"/>
    <w:rsid w:val="109C2F25"/>
    <w:rsid w:val="114C66F9"/>
    <w:rsid w:val="14B46A8F"/>
    <w:rsid w:val="14E135FC"/>
    <w:rsid w:val="14FE7D0A"/>
    <w:rsid w:val="16467BBB"/>
    <w:rsid w:val="19DD25E4"/>
    <w:rsid w:val="1CE974F2"/>
    <w:rsid w:val="1F8D0609"/>
    <w:rsid w:val="21CF0904"/>
    <w:rsid w:val="239C52BE"/>
    <w:rsid w:val="254479BB"/>
    <w:rsid w:val="292813A2"/>
    <w:rsid w:val="2B5446D0"/>
    <w:rsid w:val="2D811081"/>
    <w:rsid w:val="2E76495E"/>
    <w:rsid w:val="2F6B1FE9"/>
    <w:rsid w:val="31C679AA"/>
    <w:rsid w:val="32902492"/>
    <w:rsid w:val="32DF6F75"/>
    <w:rsid w:val="333C6176"/>
    <w:rsid w:val="37BC7885"/>
    <w:rsid w:val="37EB1F18"/>
    <w:rsid w:val="38415FDC"/>
    <w:rsid w:val="39335925"/>
    <w:rsid w:val="3A241712"/>
    <w:rsid w:val="3A80103E"/>
    <w:rsid w:val="3ACF78CF"/>
    <w:rsid w:val="3BC27434"/>
    <w:rsid w:val="3BF27D19"/>
    <w:rsid w:val="3DD05E38"/>
    <w:rsid w:val="3EDB4A95"/>
    <w:rsid w:val="3FEC2CD2"/>
    <w:rsid w:val="41E55C2A"/>
    <w:rsid w:val="424E37D0"/>
    <w:rsid w:val="43326C4D"/>
    <w:rsid w:val="44DE708D"/>
    <w:rsid w:val="455E1F7C"/>
    <w:rsid w:val="460F771A"/>
    <w:rsid w:val="46E6047B"/>
    <w:rsid w:val="48FA645F"/>
    <w:rsid w:val="498A77E3"/>
    <w:rsid w:val="4D573E80"/>
    <w:rsid w:val="4DEB281B"/>
    <w:rsid w:val="4EC2357B"/>
    <w:rsid w:val="51D05FAF"/>
    <w:rsid w:val="529C40E3"/>
    <w:rsid w:val="538F3C48"/>
    <w:rsid w:val="561623FF"/>
    <w:rsid w:val="57D32355"/>
    <w:rsid w:val="588E0972"/>
    <w:rsid w:val="58F13043"/>
    <w:rsid w:val="5AA47FD9"/>
    <w:rsid w:val="5B4C4526"/>
    <w:rsid w:val="5D7F0889"/>
    <w:rsid w:val="5E8425FB"/>
    <w:rsid w:val="613C71BD"/>
    <w:rsid w:val="61860438"/>
    <w:rsid w:val="61CA2A1B"/>
    <w:rsid w:val="62092E18"/>
    <w:rsid w:val="63624ED5"/>
    <w:rsid w:val="6377272F"/>
    <w:rsid w:val="63F43D7F"/>
    <w:rsid w:val="652C7549"/>
    <w:rsid w:val="66391F1D"/>
    <w:rsid w:val="663A3EE7"/>
    <w:rsid w:val="66903B07"/>
    <w:rsid w:val="6760797E"/>
    <w:rsid w:val="68F20AA9"/>
    <w:rsid w:val="6B0B19AE"/>
    <w:rsid w:val="6B910106"/>
    <w:rsid w:val="6EB74327"/>
    <w:rsid w:val="6F157902"/>
    <w:rsid w:val="72712A3F"/>
    <w:rsid w:val="7309711B"/>
    <w:rsid w:val="73C6500C"/>
    <w:rsid w:val="74493C73"/>
    <w:rsid w:val="74AE3AD6"/>
    <w:rsid w:val="7826607A"/>
    <w:rsid w:val="7C36570A"/>
    <w:rsid w:val="7E105802"/>
    <w:rsid w:val="7F533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qFormat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1146</Words>
  <Characters>1509</Characters>
  <Lines>1</Lines>
  <Paragraphs>1</Paragraphs>
  <TotalTime>8</TotalTime>
  <ScaleCrop>false</ScaleCrop>
  <LinksUpToDate>false</LinksUpToDate>
  <CharactersWithSpaces>1604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2026-10-23T01:55:00Z</dcterms:created>
  <dc:creator>廷轩 艾</dc:creator>
  <cp:lastModifiedBy>艾廷轩</cp:lastModifiedBy>
  <dcterms:modified xsi:type="dcterms:W3CDTF">2026-10-24T09:00:56Z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eyJoZGlkIjoiNTZjMjE4YmY5YjkxOTU2YzlhZTk3ZjZkNGUyMzE0YmYiLCJ1c2VySWQiOiIxMjc5NTQ3MjY4In0=</vt:lpwstr>
  </property>
  <property fmtid="{D5CDD505-2E9C-101B-9397-08002B2CF9AE}" pid="3" name="KSOProductBuildVer">
    <vt:lpwstr>2052-12.1.0.29161</vt:lpwstr>
  </property>
  <property fmtid="{D5CDD505-2E9C-101B-9397-08002B2CF9AE}" pid="4" name="ICV">
    <vt:lpwstr>3B7E4C10F77B4B3B93FF399691010B99_12</vt:lpwstr>
  </property>
</Properties>
</file>