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pPr>
      <w:r>
        <w:rPr>
          <w:rFonts w:ascii="宋体" w:hAnsi="宋体" w:eastAsia="宋体"/>
          <w:sz w:val="24"/>
        </w:rPr>
        <w:t xml:space="preserve">0921-0930工作进展</w:t>
      </w:r>
    </w:p>
    <w:p>
      <w:pPr>
        <w:spacing w:after="120"/>
      </w:pPr>
      <w:r>
        <w:rPr>
          <w:rFonts w:ascii="宋体" w:hAnsi="宋体" w:eastAsia="宋体"/>
          <w:sz w:val="24"/>
        </w:rPr>
        <w:t xml:space="preserve"/>
      </w:r>
    </w:p>
    <w:p>
      <w:pPr>
        <w:spacing w:after="120"/>
      </w:pPr>
      <w:r>
        <w:rPr>
          <w:rFonts w:ascii="宋体" w:hAnsi="宋体" w:eastAsia="宋体"/>
          <w:sz w:val="24"/>
        </w:rPr>
        <w:t xml:space="preserve">一、本周工作内容</w:t>
      </w:r>
    </w:p>
    <w:p>
      <w:pPr>
        <w:spacing w:after="120"/>
      </w:pPr>
      <w:r>
        <w:rPr>
          <w:rFonts w:ascii="宋体" w:hAnsi="宋体" w:eastAsia="宋体"/>
          <w:sz w:val="24"/>
        </w:rPr>
        <w:t xml:space="preserve">1.针对注意力和图像侧进一步实验</w:t>
      </w:r>
    </w:p>
    <w:p>
      <w:pPr>
        <w:spacing w:after="120"/>
      </w:pPr>
      <w:r>
        <w:rPr>
          <w:rFonts w:ascii="宋体" w:hAnsi="宋体" w:eastAsia="宋体"/>
          <w:sz w:val="24"/>
        </w:rPr>
        <w:t xml:space="preserve">2.分析诊断模型tnr情况，初步尝试改善</w:t>
      </w:r>
    </w:p>
    <w:p>
      <w:pPr>
        <w:spacing w:after="120"/>
      </w:pPr>
      <w:r>
        <w:rPr>
          <w:rFonts w:ascii="宋体" w:hAnsi="宋体" w:eastAsia="宋体"/>
          <w:sz w:val="24"/>
        </w:rPr>
        <w:t xml:space="preserve"/>
      </w:r>
    </w:p>
    <w:p>
      <w:pPr>
        <w:spacing w:after="120"/>
      </w:pPr>
      <w:r>
        <w:rPr>
          <w:rFonts w:ascii="宋体" w:hAnsi="宋体" w:eastAsia="宋体"/>
          <w:sz w:val="24"/>
        </w:rPr>
        <w:t xml:space="preserve">二、实验内容及说明</w:t>
      </w:r>
    </w:p>
    <w:p>
      <w:pPr>
        <w:spacing w:after="120"/>
      </w:pPr>
      <w:r>
        <w:rPr>
          <w:rFonts w:ascii="宋体" w:hAnsi="宋体" w:eastAsia="宋体"/>
          <w:sz w:val="24"/>
        </w:rPr>
        <w:t xml:space="preserve">1.前期诊断表明，模型在异常二分类上召回已经较高，主要短板是过检（正常样本被判为异常），且决策对缺陷区域的因果依赖偏弱。本周在图像侧继续沿“稀疏异常证据为主、部件区域为条件补充”的思路做落地实验。具体做法是：先用分割与视觉–语言匹配模型，在果汁工艺相关样本上离线得到瓶身、上下标签、汁液等闭集部件掩膜，经质量检查后作为旁路缓存，而不是推理时对每张图强制注入全部件。训练与评测时仍优先采用异常检测专家给出的少量异常候选框作为主视觉证据；仅当工艺检查清单明确要求核验某一部件、且现有候选框对该部件覆盖不足时，才将该部件区域追加或替换进入输入局部槽位，并记录槽位来源以便监督。同时引入与因果链对齐的辅助损失，分别约束局部异常定位、兴趣部件到工艺步骤的归因、以及在激活局部集合上的可学习聚合决策，目标是让“有异常”的判断消费局部视觉证据，而不是只背工艺话术。全量标准评测上，准确率约0.92、召回约0.97、正常类正确率约0.78；相对未做部件条件补位的同配方基线，正常类正确率仅小幅上升，整体仍呈高召回、偏过检形态。结论是：条件性部件补位与辅助损失在设计上对准了专家盲区与逻辑类缺陷，工程路径可复现，但对虚警的压制仍有限，说明仅扩充或重加权局部输入还不足以从根本上改变决策机制。此外，针对虚警样本抽取案例集，可视化作答时刻在中深层对图像的注意力分布。结果显示，决策步分配给视觉标记的质量大约只有一到两成，相当一部分仍落在文本前缀与句首位置；注意力与真实缺陷掩膜的空间重叠普遍很低，虚警与判对样本在熵、中心质量、候选框重叠等统计量上差异也不显著，热度落在候选框内并不等价于落在缺陷像素上。这与此前遮挡缺陷区答案几乎不翻转的现象相互印证：当前说“有异常”更多反映语言侧先验与边界犹豫，而不是稳定地依据可见缺陷证据。</w:t>
      </w:r>
    </w:p>
    <w:p>
      <w:pPr>
        <w:spacing w:after="120"/>
      </w:pPr>
      <w:r>
        <w:rPr>
          <w:rFonts w:ascii="宋体" w:hAnsi="宋体" w:eastAsia="宋体"/>
          <w:sz w:val="24"/>
        </w:rPr>
        <w:t xml:space="preserve"/>
      </w:r>
    </w:p>
    <w:p>
      <w:pPr>
        <w:spacing w:after="120"/>
      </w:pPr>
      <w:r>
        <w:rPr>
          <w:rFonts w:ascii="宋体" w:hAnsi="宋体" w:eastAsia="宋体"/>
          <w:sz w:val="24"/>
        </w:rPr>
        <w:t xml:space="preserve">2.在确认瓶颈偏向过检与决策先验之后，本周对正常类正确率做了训练侧与测试侧两方面的对照改善，并补充输出层自信度诊断。训练侧在保持原有多源语料的基础上，提高正常样本采样比重，并对序列末位的正常/异常答案词施加非对称交叉熵权重（正常侧约三倍），意在直接打压“默认说异常”的偏好。全量评测上准确率约0.93、召回约0.93、正常类正确率约0.92，过检明显缓解；代价是召回回落，个别品类漏检增多。进一步做缺陷区遮挡对照后，答案翻转率仍然很低，说明该路线主要是把决策门槛整体推向正常侧，尚未形成“看见缺陷才判异常”的证据依赖。随后在二分类输出上抽取异常类概率作为自信度，对加权训练前后的模型做混淆矩阵四格对比：两类模型在真正例上都较笃定；差距主要体现在是否敢于判正常，以及正确判正常时异常侧残留概率是否更低（约从0.21降到0.12量级），虚警样本多为中等自信（大约0.6–0.7），极少出现接近满分的极端误报。难点品类仍相对集中在瓶、药丸、晶体管等外观细微或结构复杂的子集。测试侧另外尝试了两种不改权重的校准：其一要求异常概率超过约0.7才输出异常，正常类正确率可提升到约0.92；其二仅在中等置信窄带内回看专家异常分数、带外仍由语言模型判决，准确率可到约0.95，召回与正常类正确率亦较均衡。综合来看，训练加权与测试门控/专家回看都能显著抬升正常类正确率与整体准确率，但本质上属于判分阈值与多源融合层面的改善；结合遮挡与注意力诊断，决策对缺陷像素的因果依赖问题仍然存在，不宜把测试侧指标抬升误当成机制已经打通。</w:t>
      </w:r>
    </w:p>
    <w:p>
      <w:pPr>
        <w:spacing w:after="120"/>
      </w:pPr>
      <w:r>
        <w:rPr>
          <w:rFonts w:ascii="宋体" w:hAnsi="宋体" w:eastAsia="宋体"/>
          <w:sz w:val="24"/>
        </w:rPr>
        <w:t xml:space="preserve"/>
      </w:r>
    </w:p>
    <w:p>
      <w:pPr>
        <w:spacing w:after="120"/>
      </w:pPr>
      <w:r>
        <w:rPr>
          <w:rFonts w:ascii="宋体" w:hAnsi="宋体" w:eastAsia="宋体"/>
          <w:sz w:val="24"/>
        </w:rPr>
        <w:t xml:space="preserve">三、下周（节后）计划</w:t>
      </w:r>
    </w:p>
    <w:p>
      <w:pPr>
        <w:spacing w:after="120"/>
      </w:pPr>
      <w:r>
        <w:rPr>
          <w:rFonts w:ascii="宋体" w:hAnsi="宋体" w:eastAsia="宋体"/>
          <w:sz w:val="24"/>
        </w:rPr>
        <w:t xml:space="preserve">节后工作重点从门槛校准转向机制对齐：针对困难样本与虚警案例，在决策相关层引导或约束注意力更多地落在异常候选与缺陷相关视觉证据上，使作答与可见区域一致；验收不以单纯抬高正常类正确率为唯一标准，而以遮挡真实证据区后异常判定是否显著下降、以及虚警自信形态是否收敛为主，避免继续依赖加重正常答案词或测试侧门控作为主手段。</w:t>
      </w:r>
    </w:p>
    <w:sectPr>
      <w:pgSz w:w="11906" w:h="16838"/>
      <w:pgMar w:top="1440" w:right="1440" w:bottom="1440" w:left="1440"/>
    </w:sectPr>
  </w:body>
</w:document>
</file>