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GAS TRADING MODEL v2</w:t>
      </w:r>
    </w:p>
    <w:p>
      <w:pPr>
        <w:jc w:val="center"/>
      </w:pPr>
      <w:r>
        <w:rPr>
          <w:b/>
          <w:sz w:val="32"/>
        </w:rPr>
        <w:t>Technical Handover &amp; Development Status Report</w:t>
      </w:r>
    </w:p>
    <w:p>
      <w:pPr>
        <w:jc w:val="center"/>
      </w:pPr>
      <w:r>
        <w:rPr>
          <w:sz w:val="22"/>
        </w:rPr>
        <w:t>Prepared for a new reviewer / developer</w:t>
      </w:r>
    </w:p>
    <w:p>
      <w:pPr>
        <w:jc w:val="center"/>
      </w:pPr>
      <w:r>
        <w:rPr>
          <w:sz w:val="20"/>
        </w:rPr>
        <w:t>Status date: 7 August 2026</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pPr>
              <w:jc w:val="left"/>
            </w:pPr>
            <w:r>
              <w:rPr>
                <w:b/>
                <w:sz w:val="18"/>
              </w:rPr>
              <w:t>Primary workbook</w:t>
            </w:r>
          </w:p>
        </w:tc>
        <w:tc>
          <w:tcPr>
            <w:tcW w:type="dxa" w:w="5083"/>
            <w:vAlign w:val="center"/>
          </w:tcPr>
          <w:p>
            <w:pPr>
              <w:jc w:val="left"/>
            </w:pPr>
            <w:r>
              <w:rPr>
                <w:b w:val="0"/>
                <w:sz w:val="18"/>
              </w:rPr>
              <w:t>Gas_Trading_Model 030826.xlsm</w:t>
            </w:r>
          </w:p>
        </w:tc>
      </w:tr>
      <w:tr>
        <w:tc>
          <w:tcPr>
            <w:tcW w:type="dxa" w:w="5083"/>
            <w:vAlign w:val="center"/>
            <w:shd w:fill="D9EAF7"/>
          </w:tcPr>
          <w:p>
            <w:pPr>
              <w:jc w:val="left"/>
            </w:pPr>
            <w:r>
              <w:rPr>
                <w:b/>
                <w:sz w:val="18"/>
              </w:rPr>
              <w:t>Initial Market Date</w:t>
            </w:r>
          </w:p>
        </w:tc>
        <w:tc>
          <w:tcPr>
            <w:tcW w:type="dxa" w:w="5083"/>
            <w:vAlign w:val="center"/>
          </w:tcPr>
          <w:p>
            <w:pPr>
              <w:jc w:val="left"/>
            </w:pPr>
            <w:r>
              <w:rPr>
                <w:b w:val="0"/>
                <w:sz w:val="18"/>
              </w:rPr>
              <w:t>30/06/2026 (end-of-day position)</w:t>
            </w:r>
          </w:p>
        </w:tc>
      </w:tr>
      <w:tr>
        <w:tc>
          <w:tcPr>
            <w:tcW w:type="dxa" w:w="5083"/>
            <w:vAlign w:val="center"/>
            <w:shd w:fill="D9EAF7"/>
          </w:tcPr>
          <w:p>
            <w:pPr>
              <w:jc w:val="left"/>
            </w:pPr>
            <w:r>
              <w:rPr>
                <w:b/>
                <w:sz w:val="18"/>
              </w:rPr>
              <w:t>Current historical range</w:t>
            </w:r>
          </w:p>
        </w:tc>
        <w:tc>
          <w:tcPr>
            <w:tcW w:type="dxa" w:w="5083"/>
            <w:vAlign w:val="center"/>
          </w:tcPr>
          <w:p>
            <w:pPr>
              <w:jc w:val="left"/>
            </w:pPr>
            <w:r>
              <w:rPr>
                <w:b w:val="0"/>
                <w:sz w:val="18"/>
              </w:rPr>
              <w:t>30/06/2026 to 28/07/2026</w:t>
            </w:r>
          </w:p>
        </w:tc>
      </w:tr>
      <w:tr>
        <w:tc>
          <w:tcPr>
            <w:tcW w:type="dxa" w:w="5083"/>
            <w:vAlign w:val="center"/>
            <w:shd w:fill="D9EAF7"/>
          </w:tcPr>
          <w:p>
            <w:pPr>
              <w:jc w:val="left"/>
            </w:pPr>
            <w:r>
              <w:rPr>
                <w:b/>
                <w:sz w:val="18"/>
              </w:rPr>
              <w:t>Current comparison dates</w:t>
            </w:r>
          </w:p>
        </w:tc>
        <w:tc>
          <w:tcPr>
            <w:tcW w:type="dxa" w:w="5083"/>
            <w:vAlign w:val="center"/>
          </w:tcPr>
          <w:p>
            <w:pPr>
              <w:jc w:val="left"/>
            </w:pPr>
            <w:r>
              <w:rPr>
                <w:b w:val="0"/>
                <w:sz w:val="18"/>
              </w:rPr>
              <w:t>D1 = 27/07/2026; D2 = 28/07/2026</w:t>
            </w:r>
          </w:p>
        </w:tc>
      </w:tr>
      <w:tr>
        <w:tc>
          <w:tcPr>
            <w:tcW w:type="dxa" w:w="5083"/>
            <w:vAlign w:val="center"/>
            <w:shd w:fill="D9EAF7"/>
          </w:tcPr>
          <w:p>
            <w:pPr>
              <w:jc w:val="left"/>
            </w:pPr>
            <w:r>
              <w:rPr>
                <w:b/>
                <w:sz w:val="18"/>
              </w:rPr>
              <w:t>Development status</w:t>
            </w:r>
          </w:p>
        </w:tc>
        <w:tc>
          <w:tcPr>
            <w:tcW w:type="dxa" w:w="5083"/>
            <w:vAlign w:val="center"/>
          </w:tcPr>
          <w:p>
            <w:pPr>
              <w:jc w:val="left"/>
            </w:pPr>
            <w:r>
              <w:rPr>
                <w:b w:val="0"/>
                <w:sz w:val="18"/>
              </w:rPr>
              <w:t>GTM v2 architecture implemented; several structural corrections still pending</w:t>
            </w:r>
          </w:p>
        </w:tc>
      </w:tr>
    </w:tbl>
    <w:p>
      <w:pPr>
        <w:pStyle w:val="SmallNote"/>
      </w:pPr>
      <w:r>
        <w:t>This report is intended to allow a technically experienced reviewer to understand the model without prior project history and to continue the current remediation and validation work safely.</w:t>
      </w:r>
    </w:p>
    <w:p>
      <w:r>
        <w:br w:type="page"/>
      </w:r>
    </w:p>
    <w:p>
      <w:pPr>
        <w:pStyle w:val="Heading1"/>
        <w:keepNext/>
      </w:pPr>
      <w:r>
        <w:t>1. Executive Summary</w:t>
      </w:r>
    </w:p>
    <w:p>
      <w:r>
        <w:t>The workbook is an Excel/VBA gas trading model used to reconstruct daily exposure, fixings and PnL by book, underlying and delivery month. A new normalized architecture (“GTM v2”) has been developed to replace the previous formula-heavy legacy approach. The v2 model is materially faster, more auditable and less dependent on very large worksheet formulas, but it is still in controlled development and should not yet be treated as fully production-ready.</w:t>
      </w:r>
    </w:p>
    <w:p>
      <w:r>
        <w:t>The most important discovery during the latest review is that the legacy model is not a reliable acceptance benchmark: several legacy formulas are hard-coded to TRADES rows 3:202 even though the workbook contains substantially more trade rows. This causes later trades to be invisible to the legacy calculations and explains previously unexplained exposure differences. Accordingly, legacy outputs should be retained only as historical/reference information and must not be used as the authoritative truth for GTM v2 validation.</w:t>
      </w:r>
    </w:p>
    <w:p>
      <w:pPr>
        <w:pStyle w:val="ListBullet"/>
      </w:pPr>
      <w:r>
        <w:t>GTM v2 normalized layers: INITIAL POSITION DATA, FIXINGS DATA, EXPOSURE DATA and PNL DATA.</w:t>
      </w:r>
    </w:p>
    <w:p>
      <w:pPr>
        <w:pStyle w:val="ListBullet"/>
      </w:pPr>
      <w:r>
        <w:t>Only trades with Trade Date &gt; Initial Market Date are incremental; the initial position represents the end-of-day position at the Initial Market Date.</w:t>
      </w:r>
    </w:p>
    <w:p>
      <w:pPr>
        <w:pStyle w:val="ListBullet"/>
      </w:pPr>
      <w:r>
        <w:t>SIMULATION TRADES follow the same structure and are globally included/excluded through an ON/OFF switch.</w:t>
      </w:r>
    </w:p>
    <w:p>
      <w:pPr>
        <w:pStyle w:val="ListBullet"/>
      </w:pPr>
      <w:r>
        <w:t>Daily Qty is now a mandatory field: blank or non-numeric values must block the build.</w:t>
      </w:r>
    </w:p>
    <w:p>
      <w:pPr>
        <w:pStyle w:val="ListBullet"/>
      </w:pPr>
      <w:r>
        <w:t>The Fixings and Exposure engines still require several corrections before the next full rebuild (same-day fixing eligibility, event timing, explicit zero closures, shared Build ID / coherence gate, etc.).</w:t>
      </w:r>
    </w:p>
    <w:p>
      <w:pPr>
        <w:pStyle w:val="ListBullet"/>
      </w:pPr>
      <w:r>
        <w:t>A clean full rebuild and independent economic validation must be completed before the model is considered ready for production use.</w:t>
      </w:r>
    </w:p>
    <w:p>
      <w:pPr>
        <w:pStyle w:val="Heading1"/>
        <w:keepNext/>
      </w:pPr>
      <w:r>
        <w:t>2. Model Purpose and Business Logic</w:t>
      </w:r>
    </w:p>
    <w:p>
      <w:r>
        <w:t>The model reconstructs the daily economic state of a gas trading portfolio. It combines the opening position at a defined historical cut-off date with subsequent trades, fixing schedules, market curves and operational cost flows. The principal output is daily PnL decomposed into exposure revaluation, fixing PnL, logistical costs, fees/optimizations and replication.</w:t>
      </w:r>
    </w:p>
    <w:p>
      <w:pPr>
        <w:pStyle w:val="Heading2"/>
        <w:keepNext/>
      </w:pPr>
      <w:r>
        <w:t>2.1 Core economic rules</w:t>
      </w:r>
    </w:p>
    <w:p>
      <w:pPr>
        <w:pStyle w:val="ListBullet"/>
      </w:pPr>
      <w:r>
        <w:t>Initial Market Date is an end-of-day state. The initial position already includes all activity up to and including that date.</w:t>
      </w:r>
    </w:p>
    <w:p>
      <w:pPr>
        <w:pStyle w:val="ListBullet"/>
      </w:pPr>
      <w:r>
        <w:t>Only trades booked after the Initial Market Date are incremental to the new engine.</w:t>
      </w:r>
    </w:p>
    <w:p>
      <w:pPr>
        <w:pStyle w:val="ListBullet"/>
      </w:pPr>
      <w:r>
        <w:t>Trades are preserved by Trade Source: INITIAL, ACTUAL or SIMULATION; simulation rows also preserve Scenario.</w:t>
      </w:r>
    </w:p>
    <w:p>
      <w:pPr>
        <w:pStyle w:val="ListBullet"/>
      </w:pPr>
      <w:r>
        <w:t>Exposure and fixings must use the same signed-volume logic and the same fixing eligibility rules.</w:t>
      </w:r>
    </w:p>
    <w:p>
      <w:pPr>
        <w:pStyle w:val="ListBullet"/>
      </w:pPr>
      <w:r>
        <w:t>Fixing PnL is recognized on Fixing Date. For daily-price methods such as Brent, HH and PVB Heren DA, the pricing lookup may use Delivery Day while the economic recognition remains on Fixing Date.</w:t>
      </w:r>
    </w:p>
    <w:p>
      <w:pPr>
        <w:pStyle w:val="ListBullet"/>
      </w:pPr>
      <w:r>
        <w:t>PnL must preserve Delivery Month for exposure and fixing components so that portfolio movements remain traceable by month.</w:t>
      </w:r>
    </w:p>
    <w:p>
      <w:pPr>
        <w:pStyle w:val="ListBullet"/>
      </w:pPr>
      <w:r>
        <w:t>Trade-entry economics require an execution-price adjustment. A simple current-vs-previous MtM delta is not sufficient on the trade date because newly entered volume must be accounted for at its execution price.</w:t>
      </w:r>
    </w:p>
    <w:p>
      <w:pPr>
        <w:pStyle w:val="Heading2"/>
        <w:keepNext/>
      </w:pPr>
      <w:r>
        <w:t>2.2 Main PnL components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pPr>
              <w:jc w:val="left"/>
            </w:pPr>
            <w:r>
              <w:rPr>
                <w:b/>
                <w:sz w:val="18"/>
              </w:rPr>
              <w:t>Component</w:t>
            </w:r>
          </w:p>
        </w:tc>
        <w:tc>
          <w:tcPr>
            <w:tcW w:type="dxa" w:w="3389"/>
            <w:vAlign w:val="center"/>
            <w:shd w:fill="D9EAF7"/>
          </w:tcPr>
          <w:p>
            <w:pPr>
              <w:jc w:val="left"/>
            </w:pPr>
            <w:r>
              <w:rPr>
                <w:b/>
                <w:sz w:val="18"/>
              </w:rPr>
              <w:t>Concept</w:t>
            </w:r>
          </w:p>
        </w:tc>
        <w:tc>
          <w:tcPr>
            <w:tcW w:type="dxa" w:w="3389"/>
            <w:vAlign w:val="center"/>
            <w:shd w:fill="D9EAF7"/>
          </w:tcPr>
          <w:p>
            <w:pPr>
              <w:jc w:val="left"/>
            </w:pPr>
            <w:r>
              <w:rPr>
                <w:b/>
                <w:sz w:val="18"/>
              </w:rPr>
              <w:t>Current source / treatment</w:t>
            </w:r>
          </w:p>
        </w:tc>
      </w:tr>
      <w:tr>
        <w:tc>
          <w:tcPr>
            <w:tcW w:type="dxa" w:w="3389"/>
            <w:vAlign w:val="center"/>
          </w:tcPr>
          <w:p>
            <w:pPr>
              <w:jc w:val="left"/>
            </w:pPr>
            <w:r>
              <w:rPr>
                <w:b w:val="0"/>
                <w:sz w:val="18"/>
              </w:rPr>
              <w:t>Delta Exposure MtM</w:t>
            </w:r>
          </w:p>
        </w:tc>
        <w:tc>
          <w:tcPr>
            <w:tcW w:type="dxa" w:w="3389"/>
            <w:vAlign w:val="center"/>
          </w:tcPr>
          <w:p>
            <w:pPr>
              <w:jc w:val="left"/>
            </w:pPr>
            <w:r>
              <w:rPr>
                <w:b w:val="0"/>
                <w:sz w:val="18"/>
              </w:rPr>
              <w:t>Change in mark-to-market of open exposure between market dates</w:t>
            </w:r>
          </w:p>
        </w:tc>
        <w:tc>
          <w:tcPr>
            <w:tcW w:type="dxa" w:w="3389"/>
            <w:vAlign w:val="center"/>
          </w:tcPr>
          <w:p>
            <w:pPr>
              <w:jc w:val="left"/>
            </w:pPr>
            <w:r>
              <w:rPr>
                <w:b w:val="0"/>
                <w:sz w:val="18"/>
              </w:rPr>
              <w:t>Derived from EXPOSURE DATA and market curves.</w:t>
            </w:r>
          </w:p>
        </w:tc>
      </w:tr>
      <w:tr>
        <w:tc>
          <w:tcPr>
            <w:tcW w:type="dxa" w:w="3389"/>
            <w:vAlign w:val="center"/>
          </w:tcPr>
          <w:p>
            <w:pPr>
              <w:jc w:val="left"/>
            </w:pPr>
            <w:r>
              <w:rPr>
                <w:b w:val="0"/>
                <w:sz w:val="18"/>
              </w:rPr>
              <w:t>Fixing Amount</w:t>
            </w:r>
          </w:p>
        </w:tc>
        <w:tc>
          <w:tcPr>
            <w:tcW w:type="dxa" w:w="3389"/>
            <w:vAlign w:val="center"/>
          </w:tcPr>
          <w:p>
            <w:pPr>
              <w:jc w:val="left"/>
            </w:pPr>
            <w:r>
              <w:rPr>
                <w:b w:val="0"/>
                <w:sz w:val="18"/>
              </w:rPr>
              <w:t>Economic value of volumes fixing on the market date</w:t>
            </w:r>
          </w:p>
        </w:tc>
        <w:tc>
          <w:tcPr>
            <w:tcW w:type="dxa" w:w="3389"/>
            <w:vAlign w:val="center"/>
          </w:tcPr>
          <w:p>
            <w:pPr>
              <w:jc w:val="left"/>
            </w:pPr>
            <w:r>
              <w:rPr>
                <w:b w:val="0"/>
                <w:sz w:val="18"/>
              </w:rPr>
              <w:t>Derived from FIXINGS DATA.</w:t>
            </w:r>
          </w:p>
        </w:tc>
      </w:tr>
      <w:tr>
        <w:tc>
          <w:tcPr>
            <w:tcW w:type="dxa" w:w="3389"/>
            <w:vAlign w:val="center"/>
          </w:tcPr>
          <w:p>
            <w:pPr>
              <w:jc w:val="left"/>
            </w:pPr>
            <w:r>
              <w:rPr>
                <w:b w:val="0"/>
                <w:sz w:val="18"/>
              </w:rPr>
              <w:t>Logistical Costs</w:t>
            </w:r>
          </w:p>
        </w:tc>
        <w:tc>
          <w:tcPr>
            <w:tcW w:type="dxa" w:w="3389"/>
            <w:vAlign w:val="center"/>
          </w:tcPr>
          <w:p>
            <w:pPr>
              <w:jc w:val="left"/>
            </w:pPr>
            <w:r>
              <w:rPr>
                <w:b w:val="0"/>
                <w:sz w:val="18"/>
              </w:rPr>
              <w:t>Operational/logistics costs</w:t>
            </w:r>
          </w:p>
        </w:tc>
        <w:tc>
          <w:tcPr>
            <w:tcW w:type="dxa" w:w="3389"/>
            <w:vAlign w:val="center"/>
          </w:tcPr>
          <w:p>
            <w:pPr>
              <w:jc w:val="left"/>
            </w:pPr>
            <w:r>
              <w:rPr>
                <w:b w:val="0"/>
                <w:sz w:val="18"/>
              </w:rPr>
              <w:t>Currently still uses transitional/legacy operating-flow sources.</w:t>
            </w:r>
          </w:p>
        </w:tc>
      </w:tr>
      <w:tr>
        <w:tc>
          <w:tcPr>
            <w:tcW w:type="dxa" w:w="3389"/>
            <w:vAlign w:val="center"/>
          </w:tcPr>
          <w:p>
            <w:pPr>
              <w:jc w:val="left"/>
            </w:pPr>
            <w:r>
              <w:rPr>
                <w:b w:val="0"/>
                <w:sz w:val="18"/>
              </w:rPr>
              <w:t>Fees &amp; Optimizations</w:t>
            </w:r>
          </w:p>
        </w:tc>
        <w:tc>
          <w:tcPr>
            <w:tcW w:type="dxa" w:w="3389"/>
            <w:vAlign w:val="center"/>
          </w:tcPr>
          <w:p>
            <w:pPr>
              <w:jc w:val="left"/>
            </w:pPr>
            <w:r>
              <w:rPr>
                <w:b w:val="0"/>
                <w:sz w:val="18"/>
              </w:rPr>
              <w:t>Fees and optimization flows</w:t>
            </w:r>
          </w:p>
        </w:tc>
        <w:tc>
          <w:tcPr>
            <w:tcW w:type="dxa" w:w="3389"/>
            <w:vAlign w:val="center"/>
          </w:tcPr>
          <w:p>
            <w:pPr>
              <w:jc w:val="left"/>
            </w:pPr>
            <w:r>
              <w:rPr>
                <w:b w:val="0"/>
                <w:sz w:val="18"/>
              </w:rPr>
              <w:t>Currently still uses transitional/legacy operating-flow sources.</w:t>
            </w:r>
          </w:p>
        </w:tc>
      </w:tr>
      <w:tr>
        <w:tc>
          <w:tcPr>
            <w:tcW w:type="dxa" w:w="3389"/>
            <w:vAlign w:val="center"/>
          </w:tcPr>
          <w:p>
            <w:pPr>
              <w:jc w:val="left"/>
            </w:pPr>
            <w:r>
              <w:rPr>
                <w:b w:val="0"/>
                <w:sz w:val="18"/>
              </w:rPr>
              <w:t>Replication</w:t>
            </w:r>
          </w:p>
        </w:tc>
        <w:tc>
          <w:tcPr>
            <w:tcW w:type="dxa" w:w="3389"/>
            <w:vAlign w:val="center"/>
          </w:tcPr>
          <w:p>
            <w:pPr>
              <w:jc w:val="left"/>
            </w:pPr>
            <w:r>
              <w:rPr>
                <w:b w:val="0"/>
                <w:sz w:val="18"/>
              </w:rPr>
              <w:t>Replication / index-replication economics</w:t>
            </w:r>
          </w:p>
        </w:tc>
        <w:tc>
          <w:tcPr>
            <w:tcW w:type="dxa" w:w="3389"/>
            <w:vAlign w:val="center"/>
          </w:tcPr>
          <w:p>
            <w:pPr>
              <w:jc w:val="left"/>
            </w:pPr>
            <w:r>
              <w:rPr>
                <w:b w:val="0"/>
                <w:sz w:val="18"/>
              </w:rPr>
              <w:t>Currently still uses transitional/legacy operating-flow sources.</w:t>
            </w:r>
          </w:p>
        </w:tc>
      </w:tr>
      <w:tr>
        <w:tc>
          <w:tcPr>
            <w:tcW w:type="dxa" w:w="3389"/>
            <w:vAlign w:val="center"/>
          </w:tcPr>
          <w:p>
            <w:pPr>
              <w:jc w:val="left"/>
            </w:pPr>
            <w:r>
              <w:rPr>
                <w:b w:val="0"/>
                <w:sz w:val="18"/>
              </w:rPr>
              <w:t>Trade Entry Adjustment</w:t>
            </w:r>
          </w:p>
        </w:tc>
        <w:tc>
          <w:tcPr>
            <w:tcW w:type="dxa" w:w="3389"/>
            <w:vAlign w:val="center"/>
          </w:tcPr>
          <w:p>
            <w:pPr>
              <w:jc w:val="left"/>
            </w:pPr>
            <w:r>
              <w:rPr>
                <w:b w:val="0"/>
                <w:sz w:val="18"/>
              </w:rPr>
              <w:t>Corrects gross MtM delta for execution price of new trades</w:t>
            </w:r>
          </w:p>
        </w:tc>
        <w:tc>
          <w:tcPr>
            <w:tcW w:type="dxa" w:w="3389"/>
            <w:vAlign w:val="center"/>
          </w:tcPr>
          <w:p>
            <w:pPr>
              <w:jc w:val="left"/>
            </w:pPr>
            <w:r>
              <w:rPr>
                <w:b w:val="0"/>
                <w:sz w:val="18"/>
              </w:rPr>
              <w:t>Currently applied by an external helper; longer-term target is to integrate it into the PnL engine.</w:t>
            </w:r>
          </w:p>
        </w:tc>
      </w:tr>
    </w:tbl>
    <w:p>
      <w:pPr>
        <w:pStyle w:val="Heading1"/>
        <w:keepNext/>
      </w:pPr>
      <w:r>
        <w:t>3. GTM v2 Architecture</w:t>
      </w:r>
    </w:p>
    <w:p>
      <w:r>
        <w:t>The target architecture separates normalized calculation layers from presentation and legacy reconciliation sheets. The four core data layers are:</w:t>
      </w:r>
    </w:p>
    <w:p>
      <w:r>
        <w:rPr>
          <w:b/>
        </w:rPr>
        <w:t xml:space="preserve">INITIAL POSITION DATA: </w:t>
      </w:r>
      <w:r>
        <w:t>Normalized starting exposure and starting PnL at the Initial Market Date.</w:t>
      </w:r>
    </w:p>
    <w:p>
      <w:r>
        <w:rPr>
          <w:b/>
        </w:rPr>
        <w:t xml:space="preserve">FIXINGS DATA: </w:t>
      </w:r>
      <w:r>
        <w:t>Daily fixing schedule and fixing amounts generated from the initial position and incremental trades.</w:t>
      </w:r>
    </w:p>
    <w:p>
      <w:r>
        <w:rPr>
          <w:b/>
        </w:rPr>
        <w:t xml:space="preserve">EXPOSURE DATA: </w:t>
      </w:r>
      <w:r>
        <w:t>Daily closing exposure snapshots by Market Date, BOOK, Underlying, Delivery Month, Trade Source and Scenario.</w:t>
      </w:r>
    </w:p>
    <w:p>
      <w:r>
        <w:rPr>
          <w:b/>
        </w:rPr>
        <w:t xml:space="preserve">PNL DATA: </w:t>
      </w:r>
      <w:r>
        <w:t>Daily PnL components by Market Date / Previous Market Date, BOOK, Underlying, Delivery Month, Trade Source and Scenario.</w:t>
      </w:r>
    </w:p>
    <w:p>
      <w:pPr>
        <w:pStyle w:val="Heading2"/>
        <w:keepNext/>
      </w:pPr>
      <w:r>
        <w:t>3.1 Intended processing flow</w:t>
      </w:r>
    </w:p>
    <w:p>
      <w:pPr>
        <w:pStyle w:val="ListNumber"/>
      </w:pPr>
      <w:r>
        <w:t>Preflight validation</w:t>
      </w:r>
    </w:p>
    <w:p>
      <w:pPr>
        <w:pStyle w:val="ListNumber"/>
      </w:pPr>
      <w:r>
        <w:t>Initial-position refresh (only when the initial cut-off or source position changes)</w:t>
      </w:r>
    </w:p>
    <w:p>
      <w:pPr>
        <w:pStyle w:val="ListNumber"/>
      </w:pPr>
      <w:r>
        <w:t>Build FIXINGS DATA</w:t>
      </w:r>
    </w:p>
    <w:p>
      <w:pPr>
        <w:pStyle w:val="ListNumber"/>
      </w:pPr>
      <w:r>
        <w:t>Build EXPOSURE DATA</w:t>
      </w:r>
    </w:p>
    <w:p>
      <w:pPr>
        <w:pStyle w:val="ListNumber"/>
      </w:pPr>
      <w:r>
        <w:t>Build PNL DATA</w:t>
      </w:r>
    </w:p>
    <w:p>
      <w:pPr>
        <w:pStyle w:val="ListNumber"/>
      </w:pPr>
      <w:r>
        <w:t>Apply trade-entry adjustment (temporary external helper)</w:t>
      </w:r>
    </w:p>
    <w:p>
      <w:pPr>
        <w:pStyle w:val="ListNumber"/>
      </w:pPr>
      <w:r>
        <w:t>Run independent technical/economic validation</w:t>
      </w:r>
    </w:p>
    <w:p>
      <w:pPr>
        <w:pStyle w:val="Heading2"/>
        <w:keepNext/>
      </w:pPr>
      <w:r>
        <w:t>3.2 Important worksheet / process parameters</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D9EAF7"/>
          </w:tcPr>
          <w:p>
            <w:pPr>
              <w:jc w:val="left"/>
            </w:pPr>
            <w:r>
              <w:rPr>
                <w:b/>
                <w:sz w:val="18"/>
              </w:rPr>
              <w:t>Cell / Area</w:t>
            </w:r>
          </w:p>
        </w:tc>
        <w:tc>
          <w:tcPr>
            <w:tcW w:type="dxa" w:w="3389"/>
            <w:vAlign w:val="center"/>
            <w:shd w:fill="D9EAF7"/>
          </w:tcPr>
          <w:p>
            <w:pPr>
              <w:jc w:val="left"/>
            </w:pPr>
            <w:r>
              <w:rPr>
                <w:b/>
                <w:sz w:val="18"/>
              </w:rPr>
              <w:t>Meaning</w:t>
            </w:r>
          </w:p>
        </w:tc>
        <w:tc>
          <w:tcPr>
            <w:tcW w:type="dxa" w:w="3389"/>
            <w:vAlign w:val="center"/>
            <w:shd w:fill="D9EAF7"/>
          </w:tcPr>
          <w:p>
            <w:pPr>
              <w:jc w:val="left"/>
            </w:pPr>
            <w:r>
              <w:rPr>
                <w:b/>
                <w:sz w:val="18"/>
              </w:rPr>
              <w:t>Current value / rule</w:t>
            </w:r>
          </w:p>
        </w:tc>
      </w:tr>
      <w:tr>
        <w:tc>
          <w:tcPr>
            <w:tcW w:type="dxa" w:w="3389"/>
            <w:vAlign w:val="center"/>
          </w:tcPr>
          <w:p>
            <w:pPr>
              <w:jc w:val="left"/>
            </w:pPr>
            <w:r>
              <w:rPr>
                <w:b w:val="0"/>
                <w:sz w:val="18"/>
              </w:rPr>
              <w:t>INITIAL POSITION!C2</w:t>
            </w:r>
          </w:p>
        </w:tc>
        <w:tc>
          <w:tcPr>
            <w:tcW w:type="dxa" w:w="3389"/>
            <w:vAlign w:val="center"/>
          </w:tcPr>
          <w:p>
            <w:pPr>
              <w:jc w:val="left"/>
            </w:pPr>
            <w:r>
              <w:rPr>
                <w:b w:val="0"/>
                <w:sz w:val="18"/>
              </w:rPr>
              <w:t>Initial Market Date</w:t>
            </w:r>
          </w:p>
        </w:tc>
        <w:tc>
          <w:tcPr>
            <w:tcW w:type="dxa" w:w="3389"/>
            <w:vAlign w:val="center"/>
          </w:tcPr>
          <w:p>
            <w:pPr>
              <w:jc w:val="left"/>
            </w:pPr>
            <w:r>
              <w:rPr>
                <w:b w:val="0"/>
                <w:sz w:val="18"/>
              </w:rPr>
              <w:t>30/06/2026</w:t>
            </w:r>
          </w:p>
        </w:tc>
      </w:tr>
      <w:tr>
        <w:tc>
          <w:tcPr>
            <w:tcW w:type="dxa" w:w="3389"/>
            <w:vAlign w:val="center"/>
          </w:tcPr>
          <w:p>
            <w:pPr>
              <w:jc w:val="left"/>
            </w:pPr>
            <w:r>
              <w:rPr>
                <w:b w:val="0"/>
                <w:sz w:val="18"/>
              </w:rPr>
              <w:t>PROCESS!C15</w:t>
            </w:r>
          </w:p>
        </w:tc>
        <w:tc>
          <w:tcPr>
            <w:tcW w:type="dxa" w:w="3389"/>
            <w:vAlign w:val="center"/>
          </w:tcPr>
          <w:p>
            <w:pPr>
              <w:jc w:val="left"/>
            </w:pPr>
            <w:r>
              <w:rPr>
                <w:b w:val="0"/>
                <w:sz w:val="18"/>
              </w:rPr>
              <w:t>Historical build start</w:t>
            </w:r>
          </w:p>
        </w:tc>
        <w:tc>
          <w:tcPr>
            <w:tcW w:type="dxa" w:w="3389"/>
            <w:vAlign w:val="center"/>
          </w:tcPr>
          <w:p>
            <w:pPr>
              <w:jc w:val="left"/>
            </w:pPr>
            <w:r>
              <w:rPr>
                <w:b w:val="0"/>
                <w:sz w:val="18"/>
              </w:rPr>
              <w:t>30/06/2026</w:t>
            </w:r>
          </w:p>
        </w:tc>
      </w:tr>
      <w:tr>
        <w:tc>
          <w:tcPr>
            <w:tcW w:type="dxa" w:w="3389"/>
            <w:vAlign w:val="center"/>
          </w:tcPr>
          <w:p>
            <w:pPr>
              <w:jc w:val="left"/>
            </w:pPr>
            <w:r>
              <w:rPr>
                <w:b w:val="0"/>
                <w:sz w:val="18"/>
              </w:rPr>
              <w:t>PROCESS!D15</w:t>
            </w:r>
          </w:p>
        </w:tc>
        <w:tc>
          <w:tcPr>
            <w:tcW w:type="dxa" w:w="3389"/>
            <w:vAlign w:val="center"/>
          </w:tcPr>
          <w:p>
            <w:pPr>
              <w:jc w:val="left"/>
            </w:pPr>
            <w:r>
              <w:rPr>
                <w:b w:val="0"/>
                <w:sz w:val="18"/>
              </w:rPr>
              <w:t>Historical build end</w:t>
            </w:r>
          </w:p>
        </w:tc>
        <w:tc>
          <w:tcPr>
            <w:tcW w:type="dxa" w:w="3389"/>
            <w:vAlign w:val="center"/>
          </w:tcPr>
          <w:p>
            <w:pPr>
              <w:jc w:val="left"/>
            </w:pPr>
            <w:r>
              <w:rPr>
                <w:b w:val="0"/>
                <w:sz w:val="18"/>
              </w:rPr>
              <w:t>28/07/2026</w:t>
            </w:r>
          </w:p>
        </w:tc>
      </w:tr>
      <w:tr>
        <w:tc>
          <w:tcPr>
            <w:tcW w:type="dxa" w:w="3389"/>
            <w:vAlign w:val="center"/>
          </w:tcPr>
          <w:p>
            <w:pPr>
              <w:jc w:val="left"/>
            </w:pPr>
            <w:r>
              <w:rPr>
                <w:b w:val="0"/>
                <w:sz w:val="18"/>
              </w:rPr>
              <w:t>PROCESS!C3</w:t>
            </w:r>
          </w:p>
        </w:tc>
        <w:tc>
          <w:tcPr>
            <w:tcW w:type="dxa" w:w="3389"/>
            <w:vAlign w:val="center"/>
          </w:tcPr>
          <w:p>
            <w:pPr>
              <w:jc w:val="left"/>
            </w:pPr>
            <w:r>
              <w:rPr>
                <w:b w:val="0"/>
                <w:sz w:val="18"/>
              </w:rPr>
              <w:t>D1 / previous comparison date</w:t>
            </w:r>
          </w:p>
        </w:tc>
        <w:tc>
          <w:tcPr>
            <w:tcW w:type="dxa" w:w="3389"/>
            <w:vAlign w:val="center"/>
          </w:tcPr>
          <w:p>
            <w:pPr>
              <w:jc w:val="left"/>
            </w:pPr>
            <w:r>
              <w:rPr>
                <w:b w:val="0"/>
                <w:sz w:val="18"/>
              </w:rPr>
              <w:t>27/07/2026</w:t>
            </w:r>
          </w:p>
        </w:tc>
      </w:tr>
      <w:tr>
        <w:tc>
          <w:tcPr>
            <w:tcW w:type="dxa" w:w="3389"/>
            <w:vAlign w:val="center"/>
          </w:tcPr>
          <w:p>
            <w:pPr>
              <w:jc w:val="left"/>
            </w:pPr>
            <w:r>
              <w:rPr>
                <w:b w:val="0"/>
                <w:sz w:val="18"/>
              </w:rPr>
              <w:t>PROCESS!C4</w:t>
            </w:r>
          </w:p>
        </w:tc>
        <w:tc>
          <w:tcPr>
            <w:tcW w:type="dxa" w:w="3389"/>
            <w:vAlign w:val="center"/>
          </w:tcPr>
          <w:p>
            <w:pPr>
              <w:jc w:val="left"/>
            </w:pPr>
            <w:r>
              <w:rPr>
                <w:b w:val="0"/>
                <w:sz w:val="18"/>
              </w:rPr>
              <w:t>D2 / current comparison date</w:t>
            </w:r>
          </w:p>
        </w:tc>
        <w:tc>
          <w:tcPr>
            <w:tcW w:type="dxa" w:w="3389"/>
            <w:vAlign w:val="center"/>
          </w:tcPr>
          <w:p>
            <w:pPr>
              <w:jc w:val="left"/>
            </w:pPr>
            <w:r>
              <w:rPr>
                <w:b w:val="0"/>
                <w:sz w:val="18"/>
              </w:rPr>
              <w:t>28/07/2026</w:t>
            </w:r>
          </w:p>
        </w:tc>
      </w:tr>
      <w:tr>
        <w:tc>
          <w:tcPr>
            <w:tcW w:type="dxa" w:w="3389"/>
            <w:vAlign w:val="center"/>
          </w:tcPr>
          <w:p>
            <w:pPr>
              <w:jc w:val="left"/>
            </w:pPr>
            <w:r>
              <w:rPr>
                <w:b w:val="0"/>
                <w:sz w:val="18"/>
              </w:rPr>
              <w:t>Required relationship</w:t>
            </w:r>
          </w:p>
        </w:tc>
        <w:tc>
          <w:tcPr>
            <w:tcW w:type="dxa" w:w="3389"/>
            <w:vAlign w:val="center"/>
          </w:tcPr>
          <w:p>
            <w:pPr>
              <w:jc w:val="left"/>
            </w:pPr>
            <w:r>
              <w:rPr>
                <w:b w:val="0"/>
                <w:sz w:val="18"/>
              </w:rPr>
              <w:t>Date integrity gate</w:t>
            </w:r>
          </w:p>
        </w:tc>
        <w:tc>
          <w:tcPr>
            <w:tcW w:type="dxa" w:w="3389"/>
            <w:vAlign w:val="center"/>
          </w:tcPr>
          <w:p>
            <w:pPr>
              <w:jc w:val="left"/>
            </w:pPr>
            <w:r>
              <w:rPr>
                <w:b w:val="0"/>
                <w:sz w:val="18"/>
              </w:rPr>
              <w:t>C15 &lt;= C3 &lt; C4 &lt;= D15</w:t>
            </w:r>
          </w:p>
        </w:tc>
      </w:tr>
      <w:tr>
        <w:tc>
          <w:tcPr>
            <w:tcW w:type="dxa" w:w="3389"/>
            <w:vAlign w:val="center"/>
          </w:tcPr>
          <w:p>
            <w:pPr>
              <w:jc w:val="left"/>
            </w:pPr>
            <w:r>
              <w:rPr>
                <w:b w:val="0"/>
                <w:sz w:val="18"/>
              </w:rPr>
              <w:t>SIMULATION TRADES</w:t>
            </w:r>
          </w:p>
        </w:tc>
        <w:tc>
          <w:tcPr>
            <w:tcW w:type="dxa" w:w="3389"/>
            <w:vAlign w:val="center"/>
          </w:tcPr>
          <w:p>
            <w:pPr>
              <w:jc w:val="left"/>
            </w:pPr>
            <w:r>
              <w:rPr>
                <w:b w:val="0"/>
                <w:sz w:val="18"/>
              </w:rPr>
              <w:t>Global inclusion status</w:t>
            </w:r>
          </w:p>
        </w:tc>
        <w:tc>
          <w:tcPr>
            <w:tcW w:type="dxa" w:w="3389"/>
            <w:vAlign w:val="center"/>
          </w:tcPr>
          <w:p>
            <w:pPr>
              <w:jc w:val="left"/>
            </w:pPr>
            <w:r>
              <w:rPr>
                <w:b w:val="0"/>
                <w:sz w:val="18"/>
              </w:rPr>
              <w:t>ON/OFF; must be coherent across upstream layers</w:t>
            </w:r>
          </w:p>
        </w:tc>
      </w:tr>
    </w:tbl>
    <w:p>
      <w:pPr>
        <w:pStyle w:val="Heading1"/>
        <w:keepNext/>
      </w:pPr>
      <w:r>
        <w:t>4. Files and VBA Modules</w:t>
      </w:r>
    </w:p>
    <w:p>
      <w:pPr>
        <w:pStyle w:val="Heading2"/>
        <w:keepNext/>
      </w:pPr>
      <w:r>
        <w:t>4.1 Files</w:t>
      </w:r>
    </w:p>
    <w:p>
      <w:r>
        <w:rPr>
          <w:b/>
        </w:rPr>
        <w:t>Gas_Trading_Model 030826.xlsm</w:t>
      </w:r>
      <w:r>
        <w:t xml:space="preserve"> - Primary operational workbook. It is the authoritative source/target for data and GTM v2 outputs.</w:t>
      </w:r>
    </w:p>
    <w:p>
      <w:r>
        <w:rPr>
          <w:b/>
        </w:rPr>
        <w:t>GTM_Fast_Helper.xlsm</w:t>
      </w:r>
      <w:r>
        <w:t xml:space="preserve"> - Auxiliary development and reconciliation workbook used for fast tests. It is not the authoritative business source.</w:t>
      </w:r>
    </w:p>
    <w:p>
      <w:r>
        <w:rPr>
          <w:b/>
        </w:rPr>
        <w:t>GTM_Trade_Entry_Helper_V2.xlsm</w:t>
      </w:r>
      <w:r>
        <w:t xml:space="preserve"> - Auxiliary workbook for trade-entry PnL adjustment and diagnostics.</w:t>
      </w:r>
    </w:p>
    <w:p>
      <w:r>
        <w:rPr>
          <w:b/>
        </w:rPr>
        <w:t>GTM_Fast_Helper.xlsx</w:t>
      </w:r>
      <w:r>
        <w:t xml:space="preserve"> - Optional non-macro helper copy. Review contents before deciding whether it is useful to retain.</w:t>
      </w:r>
    </w:p>
    <w:p>
      <w:pPr>
        <w:pStyle w:val="Heading2"/>
        <w:keepNext/>
      </w:pPr>
      <w:r>
        <w:t>4.2 Relevant VBA modules / entry points</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D9EAF7"/>
          </w:tcPr>
          <w:p>
            <w:pPr>
              <w:jc w:val="left"/>
            </w:pPr>
            <w:r>
              <w:rPr>
                <w:b/>
                <w:sz w:val="18"/>
              </w:rPr>
              <w:t>Module</w:t>
            </w:r>
          </w:p>
        </w:tc>
        <w:tc>
          <w:tcPr>
            <w:tcW w:type="dxa" w:w="3389"/>
            <w:vAlign w:val="center"/>
            <w:shd w:fill="D9EAF7"/>
          </w:tcPr>
          <w:p>
            <w:pPr>
              <w:jc w:val="left"/>
            </w:pPr>
            <w:r>
              <w:rPr>
                <w:b/>
                <w:sz w:val="18"/>
              </w:rPr>
              <w:t>Main entry point</w:t>
            </w:r>
          </w:p>
        </w:tc>
        <w:tc>
          <w:tcPr>
            <w:tcW w:type="dxa" w:w="3389"/>
            <w:vAlign w:val="center"/>
            <w:shd w:fill="D9EAF7"/>
          </w:tcPr>
          <w:p>
            <w:pPr>
              <w:jc w:val="left"/>
            </w:pPr>
            <w:r>
              <w:rPr>
                <w:b/>
                <w:sz w:val="18"/>
              </w:rPr>
              <w:t>Purpose</w:t>
            </w:r>
          </w:p>
        </w:tc>
      </w:tr>
      <w:tr>
        <w:tc>
          <w:tcPr>
            <w:tcW w:type="dxa" w:w="3389"/>
            <w:vAlign w:val="center"/>
          </w:tcPr>
          <w:p>
            <w:pPr>
              <w:jc w:val="left"/>
            </w:pPr>
            <w:r>
              <w:rPr>
                <w:b w:val="0"/>
                <w:sz w:val="18"/>
              </w:rPr>
              <w:t>modGTMv2PreflightFixV2</w:t>
            </w:r>
          </w:p>
        </w:tc>
        <w:tc>
          <w:tcPr>
            <w:tcW w:type="dxa" w:w="3389"/>
            <w:vAlign w:val="center"/>
          </w:tcPr>
          <w:p>
            <w:pPr>
              <w:jc w:val="left"/>
            </w:pPr>
            <w:r>
              <w:rPr>
                <w:b w:val="0"/>
                <w:sz w:val="18"/>
              </w:rPr>
              <w:t>Run_GTMv2_Preflight_Alpha3</w:t>
            </w:r>
          </w:p>
        </w:tc>
        <w:tc>
          <w:tcPr>
            <w:tcW w:type="dxa" w:w="3389"/>
            <w:vAlign w:val="center"/>
          </w:tcPr>
          <w:p>
            <w:pPr>
              <w:jc w:val="left"/>
            </w:pPr>
            <w:r>
              <w:rPr>
                <w:b w:val="0"/>
                <w:sz w:val="18"/>
              </w:rPr>
              <w:t>Validates workbook structure and trade inputs; Daily Qty blanks should now be blocking errors.</w:t>
            </w:r>
          </w:p>
        </w:tc>
      </w:tr>
      <w:tr>
        <w:tc>
          <w:tcPr>
            <w:tcW w:type="dxa" w:w="3389"/>
            <w:vAlign w:val="center"/>
          </w:tcPr>
          <w:p>
            <w:pPr>
              <w:jc w:val="left"/>
            </w:pPr>
            <w:r>
              <w:rPr>
                <w:b w:val="0"/>
                <w:sz w:val="18"/>
              </w:rPr>
              <w:t>modGTMv2FixingsEngineV4</w:t>
            </w:r>
          </w:p>
        </w:tc>
        <w:tc>
          <w:tcPr>
            <w:tcW w:type="dxa" w:w="3389"/>
            <w:vAlign w:val="center"/>
          </w:tcPr>
          <w:p>
            <w:pPr>
              <w:jc w:val="left"/>
            </w:pPr>
            <w:r>
              <w:rPr>
                <w:b w:val="0"/>
                <w:sz w:val="18"/>
              </w:rPr>
              <w:t>Build_GTMv2_Fixings_Data_v3</w:t>
            </w:r>
          </w:p>
        </w:tc>
        <w:tc>
          <w:tcPr>
            <w:tcW w:type="dxa" w:w="3389"/>
            <w:vAlign w:val="center"/>
          </w:tcPr>
          <w:p>
            <w:pPr>
              <w:jc w:val="left"/>
            </w:pPr>
            <w:r>
              <w:rPr>
                <w:b w:val="0"/>
                <w:sz w:val="18"/>
              </w:rPr>
              <w:t>Builds normalized FIXINGS DATA.</w:t>
            </w:r>
          </w:p>
        </w:tc>
      </w:tr>
      <w:tr>
        <w:tc>
          <w:tcPr>
            <w:tcW w:type="dxa" w:w="3389"/>
            <w:vAlign w:val="center"/>
          </w:tcPr>
          <w:p>
            <w:pPr>
              <w:jc w:val="left"/>
            </w:pPr>
            <w:r>
              <w:rPr>
                <w:b w:val="0"/>
                <w:sz w:val="18"/>
              </w:rPr>
              <w:t>modGTMv2ExposureEngineV2</w:t>
            </w:r>
          </w:p>
        </w:tc>
        <w:tc>
          <w:tcPr>
            <w:tcW w:type="dxa" w:w="3389"/>
            <w:vAlign w:val="center"/>
          </w:tcPr>
          <w:p>
            <w:pPr>
              <w:jc w:val="left"/>
            </w:pPr>
            <w:r>
              <w:rPr>
                <w:b w:val="0"/>
                <w:sz w:val="18"/>
              </w:rPr>
              <w:t>Build_GTMv2_Exposure_Data_v2</w:t>
            </w:r>
          </w:p>
        </w:tc>
        <w:tc>
          <w:tcPr>
            <w:tcW w:type="dxa" w:w="3389"/>
            <w:vAlign w:val="center"/>
          </w:tcPr>
          <w:p>
            <w:pPr>
              <w:jc w:val="left"/>
            </w:pPr>
            <w:r>
              <w:rPr>
                <w:b w:val="0"/>
                <w:sz w:val="18"/>
              </w:rPr>
              <w:t>Builds daily closing exposure snapshots.</w:t>
            </w:r>
          </w:p>
        </w:tc>
      </w:tr>
      <w:tr>
        <w:tc>
          <w:tcPr>
            <w:tcW w:type="dxa" w:w="3389"/>
            <w:vAlign w:val="center"/>
          </w:tcPr>
          <w:p>
            <w:pPr>
              <w:jc w:val="left"/>
            </w:pPr>
            <w:r>
              <w:rPr>
                <w:b w:val="0"/>
                <w:sz w:val="18"/>
              </w:rPr>
              <w:t>modGTMv2PnLEngine</w:t>
            </w:r>
          </w:p>
        </w:tc>
        <w:tc>
          <w:tcPr>
            <w:tcW w:type="dxa" w:w="3389"/>
            <w:vAlign w:val="center"/>
          </w:tcPr>
          <w:p>
            <w:pPr>
              <w:jc w:val="left"/>
            </w:pPr>
            <w:r>
              <w:rPr>
                <w:b w:val="0"/>
                <w:sz w:val="18"/>
              </w:rPr>
              <w:t>Build_GTMv2_PnL_Data</w:t>
            </w:r>
          </w:p>
        </w:tc>
        <w:tc>
          <w:tcPr>
            <w:tcW w:type="dxa" w:w="3389"/>
            <w:vAlign w:val="center"/>
          </w:tcPr>
          <w:p>
            <w:pPr>
              <w:jc w:val="left"/>
            </w:pPr>
            <w:r>
              <w:rPr>
                <w:b w:val="0"/>
                <w:sz w:val="18"/>
              </w:rPr>
              <w:t>Builds daily normalized PnL components.</w:t>
            </w:r>
          </w:p>
        </w:tc>
      </w:tr>
      <w:tr>
        <w:tc>
          <w:tcPr>
            <w:tcW w:type="dxa" w:w="3389"/>
            <w:vAlign w:val="center"/>
          </w:tcPr>
          <w:p>
            <w:pPr>
              <w:jc w:val="left"/>
            </w:pPr>
            <w:r>
              <w:rPr>
                <w:b w:val="0"/>
                <w:sz w:val="18"/>
              </w:rPr>
              <w:t>modGTMv2PnLReconciliationV3</w:t>
            </w:r>
          </w:p>
        </w:tc>
        <w:tc>
          <w:tcPr>
            <w:tcW w:type="dxa" w:w="3389"/>
            <w:vAlign w:val="center"/>
          </w:tcPr>
          <w:p>
            <w:pPr>
              <w:jc w:val="left"/>
            </w:pPr>
            <w:r>
              <w:rPr>
                <w:b w:val="0"/>
                <w:sz w:val="18"/>
              </w:rPr>
              <w:t>Run_GTMv2_PnL_Reconciliation_V3</w:t>
            </w:r>
          </w:p>
        </w:tc>
        <w:tc>
          <w:tcPr>
            <w:tcW w:type="dxa" w:w="3389"/>
            <w:vAlign w:val="center"/>
          </w:tcPr>
          <w:p>
            <w:pPr>
              <w:jc w:val="left"/>
            </w:pPr>
            <w:r>
              <w:rPr>
                <w:b w:val="0"/>
                <w:sz w:val="18"/>
              </w:rPr>
              <w:t>Compares v2 with legacy/reference outputs; should now be informational rather than an acceptance gate.</w:t>
            </w:r>
          </w:p>
        </w:tc>
      </w:tr>
      <w:tr>
        <w:tc>
          <w:tcPr>
            <w:tcW w:type="dxa" w:w="3389"/>
            <w:vAlign w:val="center"/>
          </w:tcPr>
          <w:p>
            <w:pPr>
              <w:jc w:val="left"/>
            </w:pPr>
            <w:r>
              <w:rPr>
                <w:b w:val="0"/>
                <w:sz w:val="18"/>
              </w:rPr>
              <w:t>modGTMv2PnLEntryAdjustmentV2b (helper workbook)</w:t>
            </w:r>
          </w:p>
        </w:tc>
        <w:tc>
          <w:tcPr>
            <w:tcW w:type="dxa" w:w="3389"/>
            <w:vAlign w:val="center"/>
          </w:tcPr>
          <w:p>
            <w:pPr>
              <w:jc w:val="left"/>
            </w:pPr>
            <w:r>
              <w:rPr>
                <w:b w:val="0"/>
                <w:sz w:val="18"/>
              </w:rPr>
              <w:t>Apply_GTMv2_Trade_Entry_Adjustment_V2_External</w:t>
            </w:r>
          </w:p>
        </w:tc>
        <w:tc>
          <w:tcPr>
            <w:tcW w:type="dxa" w:w="3389"/>
            <w:vAlign w:val="center"/>
          </w:tcPr>
          <w:p>
            <w:pPr>
              <w:jc w:val="left"/>
            </w:pPr>
            <w:r>
              <w:rPr>
                <w:b w:val="0"/>
                <w:sz w:val="18"/>
              </w:rPr>
              <w:t>Temporary post-processing adjustment for execution-price economics.</w:t>
            </w:r>
          </w:p>
        </w:tc>
      </w:tr>
      <w:tr>
        <w:tc>
          <w:tcPr>
            <w:tcW w:type="dxa" w:w="3389"/>
            <w:vAlign w:val="center"/>
          </w:tcPr>
          <w:p>
            <w:pPr>
              <w:jc w:val="left"/>
            </w:pPr>
            <w:r>
              <w:rPr>
                <w:b w:val="0"/>
                <w:sz w:val="18"/>
              </w:rPr>
              <w:t>Trade Entry Diagnostic modules</w:t>
            </w:r>
          </w:p>
        </w:tc>
        <w:tc>
          <w:tcPr>
            <w:tcW w:type="dxa" w:w="3389"/>
            <w:vAlign w:val="center"/>
          </w:tcPr>
          <w:p>
            <w:pPr>
              <w:jc w:val="left"/>
            </w:pPr>
            <w:r>
              <w:rPr>
                <w:b w:val="0"/>
                <w:sz w:val="18"/>
              </w:rPr>
              <w:t>Diagnostic entry points</w:t>
            </w:r>
          </w:p>
        </w:tc>
        <w:tc>
          <w:tcPr>
            <w:tcW w:type="dxa" w:w="3389"/>
            <w:vAlign w:val="center"/>
          </w:tcPr>
          <w:p>
            <w:pPr>
              <w:jc w:val="left"/>
            </w:pPr>
            <w:r>
              <w:rPr>
                <w:b w:val="0"/>
                <w:sz w:val="18"/>
              </w:rPr>
              <w:t>Identify trade rows that would/would not be processed and why.</w:t>
            </w:r>
          </w:p>
        </w:tc>
      </w:tr>
    </w:tbl>
    <w:p>
      <w:pPr>
        <w:pStyle w:val="Heading1"/>
        <w:keepNext/>
      </w:pPr>
      <w:r>
        <w:t>5. Critical Finding: Legacy Model Is Not a Valid Acceptance Benchmark</w:t>
      </w:r>
    </w:p>
    <w:p>
      <w:r>
        <w:t>The strongest conclusion from the latest external review is that the legacy workbook formulas are structurally incomplete. Several formula blocks are hard-coded to TRADES rows 3:202, while the trade sheet contains substantially more populated operation rows. This means later trades are not visible to parts of the legacy calculations.</w:t>
      </w:r>
    </w:p>
    <w:p>
      <w:pPr>
        <w:pStyle w:val="ListBullet"/>
      </w:pPr>
      <w:r>
        <w:t>Observed trade population: approximately 478 operation rows across rows 3-508 at the time of the review.</w:t>
      </w:r>
    </w:p>
    <w:p>
      <w:pPr>
        <w:pStyle w:val="ListBullet"/>
      </w:pPr>
      <w:r>
        <w:t>Legacy formulas referencing TRADES row 202 were found extensively in FIXINGS D2 by BOOK Calc, PNL and other control areas.</w:t>
      </w:r>
    </w:p>
    <w:p>
      <w:pPr>
        <w:pStyle w:val="ListBullet"/>
      </w:pPr>
      <w:r>
        <w:t>The truncated legacy range covered only the earliest part of the post-initial history; hundreds of later operations were therefore invisible to legacy calculations.</w:t>
      </w:r>
    </w:p>
    <w:p>
      <w:pPr>
        <w:pStyle w:val="ListBullet"/>
      </w:pPr>
      <w:r>
        <w:t>This directly explained the previously unexplained 267.646 MWh exposure difference in CGTO Jan-27 and Mar-27 comparisons.</w:t>
      </w:r>
    </w:p>
    <w:p>
      <w:pPr>
        <w:pStyle w:val="ListBullet"/>
      </w:pPr>
      <w:r>
        <w:t>Do NOT “repair” the legacy model by simply extending formula ranges to row 508. Those formula sheets are extremely heavy and previously caused 15-20 minute recalculations, instability, #REF problems and file corruption risk.</w:t>
      </w:r>
    </w:p>
    <w:p>
      <w:r>
        <w:t>Implication: GTM v2 must be validated using technical consistency checks plus independent economic/manual checks. Legacy reconciliation can still be useful diagnostically, but it should not determine PASS/FAIL.</w:t>
      </w:r>
    </w:p>
    <w:p>
      <w:pPr>
        <w:pStyle w:val="Heading1"/>
        <w:keepNext/>
      </w:pPr>
      <w:r>
        <w:t>6. What Has Already Been Validated</w:t>
      </w:r>
    </w:p>
    <w:p>
      <w:r>
        <w:t>The following checks or observations have already been established during development and review:</w:t>
      </w:r>
    </w:p>
    <w:p>
      <w:pPr>
        <w:pStyle w:val="ListBullet"/>
      </w:pPr>
      <w:r>
        <w:t>Initial-position normalization was built and materially reconciled after correcting specific underlying mappings.</w:t>
      </w:r>
    </w:p>
    <w:p>
      <w:pPr>
        <w:pStyle w:val="ListBullet"/>
      </w:pPr>
      <w:r>
        <w:t>A fast exposure reconstruction test previously produced 117,936 rows with no missing/duplicate/mismatch issues versus the then-used reference logic. This was before discovering the legacy truncation and therefore should now be interpreted as a technical regression result, not proof that legacy is correct.</w:t>
      </w:r>
    </w:p>
    <w:p>
      <w:pPr>
        <w:pStyle w:val="ListBullet"/>
      </w:pPr>
      <w:r>
        <w:t>Independent Python review confirmed Exposure MtM = Exposure Volume × Curve Price for the inspected EXPOSURE DATA population.</w:t>
      </w:r>
    </w:p>
    <w:p>
      <w:pPr>
        <w:pStyle w:val="ListBullet"/>
      </w:pPr>
      <w:r>
        <w:t>Independent Python review confirmed Total PnL equals the sum of the component columns for the inspected PNL DATA population.</w:t>
      </w:r>
    </w:p>
    <w:p>
      <w:pPr>
        <w:pStyle w:val="ListBullet"/>
      </w:pPr>
      <w:r>
        <w:t>No duplicate keys were found in the inspected PNL DATA and EXPOSURE DATA populations.</w:t>
      </w:r>
    </w:p>
    <w:p>
      <w:pPr>
        <w:pStyle w:val="ListBullet"/>
      </w:pPr>
      <w:r>
        <w:t>The external trade-entry adjustment materially reduced PnL reconciliation differences, proving that execution-price treatment is economically necessary.</w:t>
      </w:r>
    </w:p>
    <w:p>
      <w:pPr>
        <w:pStyle w:val="ListBullet"/>
      </w:pPr>
      <w:r>
        <w:t>Manual validation of CGTO Jan-27 and Mar-27 positions showed that hidden decimals explain small residual exposure differences and that the old DAILY EXPOSURE DATA represents daily movement, not cumulative exposure.</w:t>
      </w:r>
    </w:p>
    <w:p>
      <w:pPr>
        <w:pStyle w:val="ListBullet"/>
      </w:pPr>
      <w:r>
        <w:t>A stale-output/filter issue was identified: filtered Excel tables combined with DataBodyRange.Delete can leave old rows. Clearing filters before rebuild removed the stale residual rows; output writers should be hardened to unfilter before clearing.</w:t>
      </w:r>
    </w:p>
    <w:p>
      <w:pPr>
        <w:pStyle w:val="Heading1"/>
        <w:keepNext/>
      </w:pPr>
      <w:r>
        <w:t>7. Changes Already Applied in the Current Remediation Cycle</w:t>
      </w:r>
    </w:p>
    <w:p>
      <w:pPr>
        <w:pStyle w:val="Heading2"/>
        <w:keepNext/>
      </w:pPr>
      <w:r>
        <w:t>7.1 Daily Qty is now mandatory</w:t>
      </w:r>
    </w:p>
    <w:p>
      <w:r>
        <w:t>The former behavior treated a blank Daily Qty as zero and silently ignored it. This is no longer acceptable. The agreed business rule is that a populated trade row cannot have a blank Daily Qty. The preflight, Fixings engine, Exposure engine and trade-entry helper are being changed so that blank or non-numeric Daily Qty values stop the build.</w:t>
      </w:r>
    </w:p>
    <w:p>
      <w:pPr>
        <w:pStyle w:val="ListBullet"/>
      </w:pPr>
      <w:r>
        <w:t>A numeric zero may be retained only if it is deliberately entered; it may be treated as a warning rather than an error if desired.</w:t>
      </w:r>
    </w:p>
    <w:p>
      <w:pPr>
        <w:pStyle w:val="ListBullet"/>
      </w:pPr>
      <w:r>
        <w:t>The preflight has been updated and currently returns PASS after the blank trade rows were removed/corrected.</w:t>
      </w:r>
    </w:p>
    <w:p>
      <w:pPr>
        <w:pStyle w:val="Heading2"/>
        <w:keepNext/>
      </w:pPr>
      <w:r>
        <w:t>7.2 Exposure Market Date axis is being decoupled from Legacy</w:t>
      </w:r>
    </w:p>
    <w:p>
      <w:r>
        <w:t>The Exposure engine previously loaded its Market Date axis from the legacy DAILY EXPOSURE DATA sheet. This creates an inappropriate circular dependency: the new engine’s historical timeline should not be inherited from a legacy output.</w:t>
      </w:r>
    </w:p>
    <w:p>
      <w:r>
        <w:t>The current replacement logic in LoadMarketDates is designed to:</w:t>
      </w:r>
    </w:p>
    <w:p>
      <w:pPr>
        <w:pStyle w:val="ListBullet"/>
      </w:pPr>
      <w:r>
        <w:t>Read the historical start/end directly from PROCESS!C15 and PROCESS!D15.</w:t>
      </w:r>
    </w:p>
    <w:p>
      <w:pPr>
        <w:pStyle w:val="ListBullet"/>
      </w:pPr>
      <w:r>
        <w:t>Validate D1/D2 from PROCESS!C3 and PROCESS!C4.</w:t>
      </w:r>
    </w:p>
    <w:p>
      <w:pPr>
        <w:pStyle w:val="ListBullet"/>
      </w:pPr>
      <w:r>
        <w:t>Enforce C15 &lt;= C3 &lt; C4 &lt;= D15.</w:t>
      </w:r>
    </w:p>
    <w:p>
      <w:pPr>
        <w:pStyle w:val="ListBullet"/>
      </w:pPr>
      <w:r>
        <w:t>Use CALENDAR / IsMarketDay() to create the actual Market Date axis.</w:t>
      </w:r>
    </w:p>
    <w:p>
      <w:pPr>
        <w:pStyle w:val="ListBullet"/>
      </w:pPr>
      <w:r>
        <w:t>Include only dates strictly later than the Initial Market Date in the exposure snapshots.</w:t>
      </w:r>
    </w:p>
    <w:p>
      <w:pPr>
        <w:pStyle w:val="ListBullet"/>
      </w:pPr>
      <w:r>
        <w:t>Remove the need to manually add C3 and C4 to the date dictionary.</w:t>
      </w:r>
    </w:p>
    <w:p>
      <w:r>
        <w:t>This code has been pasted into the current Exposure module but has not yet been exercised through a full Exposure build. The next developer should treat it as recently changed code requiring immediate unit/regression testing.</w:t>
      </w:r>
    </w:p>
    <w:p>
      <w:pPr>
        <w:pStyle w:val="Heading1"/>
        <w:keepNext/>
      </w:pPr>
      <w:r>
        <w:t>8. Open Issues and Pending Corrections</w:t>
      </w:r>
    </w:p>
    <w:p>
      <w:r>
        <w:t>The following items are the priority remediation backlog before the next clean full-history build.</w:t>
      </w:r>
    </w:p>
    <w:p>
      <w:r>
        <w:rPr>
          <w:b/>
        </w:rPr>
        <w:t>8.1 Same-day fixing eligibility for trades [HIGH]</w:t>
      </w:r>
      <w:r>
        <w:br/>
        <w:t>Fixings V4 currently uses a strict Fixing Date &gt; Trade Date condition in AddDailyTradeSchedule. A trade booked on the same day as its fixing is therefore dropped. Example detected: CGTO / Phys PVB / delivery 15/07 / approximately -490.37 MWh, booked/fixing on 14/07. For incremental trades the rule must be Fixing Date &gt;= Trade Date. Keep the stricter &gt; rule for INITIAL POSITION because that represents end-of-day at the Initial Market Date.</w:t>
      </w:r>
    </w:p>
    <w:p>
      <w:r>
        <w:rPr>
          <w:b/>
        </w:rPr>
        <w:t>8.2 Same rule in Exposure open-volume logic [HIGH]</w:t>
      </w:r>
      <w:r>
        <w:br/>
        <w:t>CalculateOpenTradeVolume in the Exposure engine must apply the same &gt;= rule for trade fixing eligibility. Fixings and Exposure must never disagree on whether a trade is still open.</w:t>
      </w:r>
    </w:p>
    <w:p>
      <w:r>
        <w:rPr>
          <w:b/>
        </w:rPr>
        <w:t>8.3 Event application can lose events on non-output dates [HIGH]</w:t>
      </w:r>
      <w:r>
        <w:br/>
        <w:t>ApplyEventsForDate currently applies only events whose event date equals the target Market Date. If an event date is absent from the generated market timeline, the event can be lost. Change to eventDate &lt;= targetDate and use separate applied-trade and applied-fixing dictionaries so each deferred event is applied once on the next valid Market Date.</w:t>
      </w:r>
    </w:p>
    <w:p>
      <w:r>
        <w:rPr>
          <w:b/>
        </w:rPr>
        <w:t>8.4 Explicit zero rows when a position closes [HIGH]</w:t>
      </w:r>
      <w:r>
        <w:br/>
        <w:t>CaptureSnapshot currently writes only material non-zero exposure. When a position transitions to zero, the row disappears and PnL cannot distinguish a genuine close from missing data. Track previous keys and write an explicit zero snapshot on the close date; ensure the output writer preserves those zero-closure rows.</w:t>
      </w:r>
    </w:p>
    <w:p>
      <w:r>
        <w:rPr>
          <w:b/>
        </w:rPr>
        <w:t>8.5 Common Build ID / coherence gate [HIGH]</w:t>
      </w:r>
      <w:r>
        <w:br/>
        <w:t>Fixings, Exposure and PnL were generated in different sessions in the inspected file. Replace loose timestamp/status checks with one common build identifier propagated through Fixings -&gt; Exposure -&gt; PnL. The gate should also confirm Simulation status, Initial Market Date and historical range. Do not use an arbitrary “less than 24h old” freshness rule.</w:t>
      </w:r>
    </w:p>
    <w:p>
      <w:r>
        <w:rPr>
          <w:b/>
        </w:rPr>
        <w:t>8.6 Trade-entry helper idempotence [HIGH]</w:t>
      </w:r>
      <w:r>
        <w:br/>
        <w:t>The external trade-entry adjustment can currently be run twice and reapply the adjustment. Add a guard using PNL Build ID + adjustment version + already-applied flag. Longer term, integrate the adjustment directly into modGTMv2PnLEngine and retire the external post-processing step.</w:t>
      </w:r>
    </w:p>
    <w:p>
      <w:r>
        <w:rPr>
          <w:b/>
        </w:rPr>
        <w:t>8.7 Output tables must be unfiltered before clearing [MEDIUM]</w:t>
      </w:r>
      <w:r>
        <w:br/>
        <w:t>Filtered ListObjects combined with DataBodyRange.Delete can preserve stale rows. Every writer should remove active filters before clearing/re-sizing the output table.</w:t>
      </w:r>
    </w:p>
    <w:p>
      <w:r>
        <w:rPr>
          <w:b/>
        </w:rPr>
        <w:t>8.8 PnL curve rule for Brent / HH opening valuation [MEDIUM]</w:t>
      </w:r>
      <w:r>
        <w:br/>
        <w:t>Exposure uses the next-month curve for current-month Brent/HH valuation while fixing uses the daily price. Confirm that the PnL engine uses the identical next-month rule for opening Initial MtM.</w:t>
      </w:r>
    </w:p>
    <w:p>
      <w:r>
        <w:rPr>
          <w:b/>
        </w:rPr>
        <w:t>8.9 Investigate unexplained disappearing position [HIGH]</w:t>
      </w:r>
      <w:r>
        <w:br/>
        <w:t>A detected case on 28/07: PROP.TRADING / TTF DA / Mar-27 had a previous exposure of about 126,480 MWh and prior MtM about EUR 6.46m, then disappeared without a trade. This may have resulted from stale/misaligned Fixings vs Exposure builds and must be retested after a clean coherent rebuild.</w:t>
      </w:r>
    </w:p>
    <w:p>
      <w:r>
        <w:rPr>
          <w:b/>
        </w:rPr>
        <w:t>8.10 Investigate missing PnL rows [HIGH]</w:t>
      </w:r>
      <w:r>
        <w:br/>
        <w:t>Four CGTO Jul-27 keys on 23/07 had approximately EUR 8.22m Exposure MtM in EXPOSURE DATA but no corresponding PNL DATA row in the inspected build. Re-test after the clean rebuild and trace any remaining missing keys.</w:t>
      </w:r>
    </w:p>
    <w:p>
      <w:r>
        <w:rPr>
          <w:b/>
        </w:rPr>
        <w:t>8.11 Resolve remaining ACTUAL exposure mismatches [MEDIUM]</w:t>
      </w:r>
      <w:r>
        <w:br/>
        <w:t>Independent trade-derived exposure matched almost all inspected rows but approximately 12 mismatches remained. These should be isolated after all structural fixes are applied.</w:t>
      </w:r>
    </w:p>
    <w:p>
      <w:r>
        <w:rPr>
          <w:b/>
        </w:rPr>
        <w:t>8.12 PnL operating flows still partly transitional [MEDIUM]</w:t>
      </w:r>
      <w:r>
        <w:br/>
        <w:t>Logistical costs, fees/optimizations and replication still rely on book-level legacy/transitional sources. The longer-term target is a fully direct normalized source rather than a legacy fallback.</w:t>
      </w:r>
    </w:p>
    <w:p>
      <w:r>
        <w:rPr>
          <w:b/>
        </w:rPr>
        <w:t>8.13 Reconciliation semantics [MEDIUM]</w:t>
      </w:r>
      <w:r>
        <w:br/>
        <w:t>Reconciliation should distinguish MATCH, NEW MODEL VALIDATED, POSSIBLE LEGACY ERROR, POSSIBLE NEW MODEL ERROR, NEW ONLY, LEGACY ONLY and NOT COMPARABLE. Treating an absent legacy key as zero inflates absolute differences and mislabels valid new-model rows as errors.</w:t>
      </w:r>
    </w:p>
    <w:p>
      <w:pPr>
        <w:pStyle w:val="Heading1"/>
        <w:keepNext/>
      </w:pPr>
      <w:r>
        <w:t>9. Recommended Next Work Sequence</w:t>
      </w:r>
    </w:p>
    <w:p>
      <w:r>
        <w:t>Do not run a full historical rebuild until the structural changes below are applied together. The recommended sequence is:</w:t>
      </w:r>
    </w:p>
    <w:p>
      <w:pPr>
        <w:pStyle w:val="ListNumber"/>
      </w:pPr>
      <w:r>
        <w:t>Keep a numbered backup of the .xlsm and work with AutoSave disabled while editing VBA.</w:t>
      </w:r>
    </w:p>
    <w:p>
      <w:pPr>
        <w:pStyle w:val="ListNumber"/>
      </w:pPr>
      <w:r>
        <w:t>Confirm all filters are cleared on TRADES, SIMULATION TRADES, FIXINGS DATA, EXPOSURE DATA, PNL DATA, DAILY PNL DATA, DAILY EXPOSURE DATA and trade-entry diagnostic/adjustment sheets.</w:t>
      </w:r>
    </w:p>
    <w:p>
      <w:pPr>
        <w:pStyle w:val="ListNumber"/>
      </w:pPr>
      <w:r>
        <w:t>Confirm all populated ACTUAL and SIMULATION trade rows have numeric Daily Qty values.</w:t>
      </w:r>
    </w:p>
    <w:p>
      <w:pPr>
        <w:pStyle w:val="ListNumber"/>
      </w:pPr>
      <w:r>
        <w:t>Complete the Exposure timeline change already started (PROCESS + CALENDAR).</w:t>
      </w:r>
    </w:p>
    <w:p>
      <w:pPr>
        <w:pStyle w:val="ListNumber"/>
      </w:pPr>
      <w:r>
        <w:t>Fix same-day fixing eligibility in Fixings V4 and Exposure V2 (trade rule &gt;=; initial-position rule remains &gt;).</w:t>
      </w:r>
    </w:p>
    <w:p>
      <w:pPr>
        <w:pStyle w:val="ListNumber"/>
      </w:pPr>
      <w:r>
        <w:t>Implement deferred event application (&lt;= target date with applied-event dictionaries).</w:t>
      </w:r>
    </w:p>
    <w:p>
      <w:pPr>
        <w:pStyle w:val="ListNumber"/>
      </w:pPr>
      <w:r>
        <w:t>Implement explicit zero closure rows.</w:t>
      </w:r>
    </w:p>
    <w:p>
      <w:pPr>
        <w:pStyle w:val="ListNumber"/>
      </w:pPr>
      <w:r>
        <w:t>Implement a common Build ID and coherence gate across Fixings, Exposure and PnL.</w:t>
      </w:r>
    </w:p>
    <w:p>
      <w:pPr>
        <w:pStyle w:val="ListNumber"/>
      </w:pPr>
      <w:r>
        <w:t>Add idempotence to the trade-entry helper or integrate the adjustment into PnL.</w:t>
      </w:r>
    </w:p>
    <w:p>
      <w:pPr>
        <w:pStyle w:val="ListNumber"/>
      </w:pPr>
      <w:r>
        <w:t>Run a short targeted test first, using the known same-day fixing case (CGTO / Phys PVB / delivery 15/07 / trade &amp; fixing 14/07).</w:t>
      </w:r>
    </w:p>
    <w:p>
      <w:pPr>
        <w:pStyle w:val="ListNumber"/>
      </w:pPr>
      <w:r>
        <w:t>Only after the short test passes, perform one clean full build in a single session: Preflight -&gt; Initial refresh if required -&gt; Fixings -&gt; Exposure -&gt; PnL -&gt; Trade Entry Adjustment -&gt; Independent validator.</w:t>
      </w:r>
    </w:p>
    <w:p>
      <w:pPr>
        <w:pStyle w:val="ListNumber"/>
      </w:pPr>
      <w:r>
        <w:t>Perform independent economic/manual regression checks and review the known problematic keys before accepting the build.</w:t>
      </w:r>
    </w:p>
    <w:p>
      <w:pPr>
        <w:pStyle w:val="Heading1"/>
        <w:keepNext/>
      </w:pPr>
      <w:r>
        <w:t>10. Short Regression Test Before Full Rebuild</w:t>
      </w:r>
    </w:p>
    <w:p>
      <w:r>
        <w:t>A targeted case should be used to prove the new event/fixing logic before rebuilding the whole history.</w:t>
      </w:r>
    </w:p>
    <w:tbl>
      <w:tblPr>
        <w:tblStyle w:val="TableGrid"/>
        <w:tblW w:type="auto" w:w="0"/>
        <w:tblLook w:firstColumn="1" w:firstRow="1" w:lastColumn="0" w:lastRow="0" w:noHBand="0" w:noVBand="1" w:val="04A0"/>
      </w:tblPr>
      <w:tblGrid>
        <w:gridCol w:w="5083"/>
        <w:gridCol w:w="5083"/>
      </w:tblGrid>
      <w:tr>
        <w:tc>
          <w:tcPr>
            <w:tcW w:type="dxa" w:w="5083"/>
            <w:vAlign w:val="center"/>
            <w:shd w:fill="D9EAF7"/>
          </w:tcPr>
          <w:p>
            <w:pPr>
              <w:jc w:val="left"/>
            </w:pPr>
            <w:r>
              <w:rPr>
                <w:b/>
                <w:sz w:val="18"/>
              </w:rPr>
              <w:t>Field</w:t>
            </w:r>
          </w:p>
        </w:tc>
        <w:tc>
          <w:tcPr>
            <w:tcW w:type="dxa" w:w="5083"/>
            <w:vAlign w:val="center"/>
            <w:shd w:fill="D9EAF7"/>
          </w:tcPr>
          <w:p>
            <w:pPr>
              <w:jc w:val="left"/>
            </w:pPr>
            <w:r>
              <w:rPr>
                <w:b/>
                <w:sz w:val="18"/>
              </w:rPr>
              <w:t>Test case</w:t>
            </w:r>
          </w:p>
        </w:tc>
      </w:tr>
      <w:tr>
        <w:tc>
          <w:tcPr>
            <w:tcW w:type="dxa" w:w="5083"/>
            <w:vAlign w:val="center"/>
          </w:tcPr>
          <w:p>
            <w:pPr>
              <w:jc w:val="left"/>
            </w:pPr>
            <w:r>
              <w:rPr>
                <w:b w:val="0"/>
                <w:sz w:val="18"/>
              </w:rPr>
              <w:t>BOOK</w:t>
            </w:r>
          </w:p>
        </w:tc>
        <w:tc>
          <w:tcPr>
            <w:tcW w:type="dxa" w:w="5083"/>
            <w:vAlign w:val="center"/>
          </w:tcPr>
          <w:p>
            <w:pPr>
              <w:jc w:val="left"/>
            </w:pPr>
            <w:r>
              <w:rPr>
                <w:b w:val="0"/>
                <w:sz w:val="18"/>
              </w:rPr>
              <w:t>CGTO</w:t>
            </w:r>
          </w:p>
        </w:tc>
      </w:tr>
      <w:tr>
        <w:tc>
          <w:tcPr>
            <w:tcW w:type="dxa" w:w="5083"/>
            <w:vAlign w:val="center"/>
          </w:tcPr>
          <w:p>
            <w:pPr>
              <w:jc w:val="left"/>
            </w:pPr>
            <w:r>
              <w:rPr>
                <w:b w:val="0"/>
                <w:sz w:val="18"/>
              </w:rPr>
              <w:t>Underlying</w:t>
            </w:r>
          </w:p>
        </w:tc>
        <w:tc>
          <w:tcPr>
            <w:tcW w:type="dxa" w:w="5083"/>
            <w:vAlign w:val="center"/>
          </w:tcPr>
          <w:p>
            <w:pPr>
              <w:jc w:val="left"/>
            </w:pPr>
            <w:r>
              <w:rPr>
                <w:b w:val="0"/>
                <w:sz w:val="18"/>
              </w:rPr>
              <w:t>Phys PVB</w:t>
            </w:r>
          </w:p>
        </w:tc>
      </w:tr>
      <w:tr>
        <w:tc>
          <w:tcPr>
            <w:tcW w:type="dxa" w:w="5083"/>
            <w:vAlign w:val="center"/>
          </w:tcPr>
          <w:p>
            <w:pPr>
              <w:jc w:val="left"/>
            </w:pPr>
            <w:r>
              <w:rPr>
                <w:b w:val="0"/>
                <w:sz w:val="18"/>
              </w:rPr>
              <w:t>Trade Date</w:t>
            </w:r>
          </w:p>
        </w:tc>
        <w:tc>
          <w:tcPr>
            <w:tcW w:type="dxa" w:w="5083"/>
            <w:vAlign w:val="center"/>
          </w:tcPr>
          <w:p>
            <w:pPr>
              <w:jc w:val="left"/>
            </w:pPr>
            <w:r>
              <w:rPr>
                <w:b w:val="0"/>
                <w:sz w:val="18"/>
              </w:rPr>
              <w:t>14/07/2026</w:t>
            </w:r>
          </w:p>
        </w:tc>
      </w:tr>
      <w:tr>
        <w:tc>
          <w:tcPr>
            <w:tcW w:type="dxa" w:w="5083"/>
            <w:vAlign w:val="center"/>
          </w:tcPr>
          <w:p>
            <w:pPr>
              <w:jc w:val="left"/>
            </w:pPr>
            <w:r>
              <w:rPr>
                <w:b w:val="0"/>
                <w:sz w:val="18"/>
              </w:rPr>
              <w:t>Fixing Date</w:t>
            </w:r>
          </w:p>
        </w:tc>
        <w:tc>
          <w:tcPr>
            <w:tcW w:type="dxa" w:w="5083"/>
            <w:vAlign w:val="center"/>
          </w:tcPr>
          <w:p>
            <w:pPr>
              <w:jc w:val="left"/>
            </w:pPr>
            <w:r>
              <w:rPr>
                <w:b w:val="0"/>
                <w:sz w:val="18"/>
              </w:rPr>
              <w:t>14/07/2026</w:t>
            </w:r>
          </w:p>
        </w:tc>
      </w:tr>
      <w:tr>
        <w:tc>
          <w:tcPr>
            <w:tcW w:type="dxa" w:w="5083"/>
            <w:vAlign w:val="center"/>
          </w:tcPr>
          <w:p>
            <w:pPr>
              <w:jc w:val="left"/>
            </w:pPr>
            <w:r>
              <w:rPr>
                <w:b w:val="0"/>
                <w:sz w:val="18"/>
              </w:rPr>
              <w:t>Delivery Day</w:t>
            </w:r>
          </w:p>
        </w:tc>
        <w:tc>
          <w:tcPr>
            <w:tcW w:type="dxa" w:w="5083"/>
            <w:vAlign w:val="center"/>
          </w:tcPr>
          <w:p>
            <w:pPr>
              <w:jc w:val="left"/>
            </w:pPr>
            <w:r>
              <w:rPr>
                <w:b w:val="0"/>
                <w:sz w:val="18"/>
              </w:rPr>
              <w:t>15/07/2026</w:t>
            </w:r>
          </w:p>
        </w:tc>
      </w:tr>
      <w:tr>
        <w:tc>
          <w:tcPr>
            <w:tcW w:type="dxa" w:w="5083"/>
            <w:vAlign w:val="center"/>
          </w:tcPr>
          <w:p>
            <w:pPr>
              <w:jc w:val="left"/>
            </w:pPr>
            <w:r>
              <w:rPr>
                <w:b w:val="0"/>
                <w:sz w:val="18"/>
              </w:rPr>
              <w:t>Volume</w:t>
            </w:r>
          </w:p>
        </w:tc>
        <w:tc>
          <w:tcPr>
            <w:tcW w:type="dxa" w:w="5083"/>
            <w:vAlign w:val="center"/>
          </w:tcPr>
          <w:p>
            <w:pPr>
              <w:jc w:val="left"/>
            </w:pPr>
            <w:r>
              <w:rPr>
                <w:b w:val="0"/>
                <w:sz w:val="18"/>
              </w:rPr>
              <w:t>approximately -490.37 MWh (confirm exact signed convention in source row)</w:t>
            </w:r>
          </w:p>
        </w:tc>
      </w:tr>
    </w:tbl>
    <w:p>
      <w:r>
        <w:t>Expected checks:</w:t>
      </w:r>
    </w:p>
    <w:p>
      <w:pPr>
        <w:pStyle w:val="ListBullet"/>
      </w:pPr>
      <w:r>
        <w:t>Fixings DATA contains the same-day fixing row.</w:t>
      </w:r>
    </w:p>
    <w:p>
      <w:pPr>
        <w:pStyle w:val="ListBullet"/>
      </w:pPr>
      <w:r>
        <w:t>Fixing volume and delivery-day price are correct.</w:t>
      </w:r>
    </w:p>
    <w:p>
      <w:pPr>
        <w:pStyle w:val="ListBullet"/>
      </w:pPr>
      <w:r>
        <w:t>Exposure reduces/closes correctly on the appropriate Market Date.</w:t>
      </w:r>
    </w:p>
    <w:p>
      <w:pPr>
        <w:pStyle w:val="ListBullet"/>
      </w:pPr>
      <w:r>
        <w:t>PNL DATA contains the corresponding fixing amount and exposure movement.</w:t>
      </w:r>
    </w:p>
    <w:p>
      <w:pPr>
        <w:pStyle w:val="ListBullet"/>
      </w:pPr>
      <w:r>
        <w:t>No trade/fixing event is applied twice.</w:t>
      </w:r>
    </w:p>
    <w:p>
      <w:pPr>
        <w:pStyle w:val="ListBullet"/>
      </w:pPr>
      <w:r>
        <w:t>If the position closes, an explicit zero exposure row is retained.</w:t>
      </w:r>
    </w:p>
    <w:p>
      <w:pPr>
        <w:pStyle w:val="ListBullet"/>
      </w:pPr>
      <w:r>
        <w:t>Running the trade-entry adjustment twice must not duplicate the adjustment once idempotence is implemented.</w:t>
      </w:r>
    </w:p>
    <w:p>
      <w:pPr>
        <w:pStyle w:val="Heading1"/>
        <w:keepNext/>
      </w:pPr>
      <w:r>
        <w:t>11. Acceptance and Validation Framework</w:t>
      </w:r>
    </w:p>
    <w:p>
      <w:r>
        <w:t>Because the legacy workbook is structurally incomplete, acceptance should use three levels rather than a single reconciliation number:</w:t>
      </w:r>
    </w:p>
    <w:p>
      <w:r>
        <w:rPr>
          <w:b/>
        </w:rPr>
        <w:t xml:space="preserve">Technical consistency: </w:t>
      </w:r>
      <w:r>
        <w:t>No duplicate keys; mandatory fields present; output equations hold; Build IDs and ranges coherent; no stale filters/rows; expected row coverage.</w:t>
      </w:r>
    </w:p>
    <w:p>
      <w:r>
        <w:rPr>
          <w:b/>
        </w:rPr>
        <w:t xml:space="preserve">Internal model consistency: </w:t>
      </w:r>
      <w:r>
        <w:t>Fixings, Exposure and PnL agree on trade sign, fixing eligibility, event timing, Delivery Month and Simulation status.</w:t>
      </w:r>
    </w:p>
    <w:p>
      <w:r>
        <w:rPr>
          <w:b/>
        </w:rPr>
        <w:t xml:space="preserve">Independent economic validation: </w:t>
      </w:r>
      <w:r>
        <w:t>Selected positions and PnL are recomputed independently from source trades, curves and fixing schedules; manual cases are used to confirm the economics.</w:t>
      </w:r>
    </w:p>
    <w:p>
      <w:r>
        <w:t>A Python validator has already been used externally to perform many structural checks (date coherence, duplicate keys, exposure arithmetic, PnL component sums, trade-derived exposure, same-day fixing detection, disappearing positions, fixing/PnL comparisons, etc.). It is useful, but it should not be the sole authority because a validator can reproduce the same business-rule mistake as the VBA implementation.</w:t>
      </w:r>
    </w:p>
    <w:p>
      <w:pPr>
        <w:pStyle w:val="Heading1"/>
        <w:keepNext/>
      </w:pPr>
      <w:r>
        <w:t>12. Useful Known Numerical / Diagnostic References</w:t>
      </w:r>
    </w:p>
    <w:p>
      <w:r>
        <w:t>The following examples may be useful when investigating regressions. They are not acceptance targets by themselves, but they provide traceable historical evidence.</w:t>
      </w:r>
    </w:p>
    <w:p>
      <w:pPr>
        <w:pStyle w:val="ListBullet"/>
      </w:pPr>
      <w:r>
        <w:t>CGTO 09/07 Jan-27 ACTUAL TTF trade-entry adjustment observed around -157,651.49; Mar-27 ACTUAL TTF around +84,711.60 in prior analysis.</w:t>
      </w:r>
    </w:p>
    <w:p>
      <w:pPr>
        <w:pStyle w:val="ListBullet"/>
      </w:pPr>
      <w:r>
        <w:t>CGTO Jan-27 and Mar-27 cumulative exposure discrepancy of 267.646 MWh was explained by the legacy TRADES row-202 truncation.</w:t>
      </w:r>
    </w:p>
    <w:p>
      <w:pPr>
        <w:pStyle w:val="ListBullet"/>
      </w:pPr>
      <w:r>
        <w:t>External trade-entry adjustment V2b previously processed hundreds of source rows and reduced the legacy-vs-new absolute PnL difference by roughly EUR 30m. This established the importance of execution-price economics but does not validate legacy.</w:t>
      </w:r>
    </w:p>
    <w:p>
      <w:pPr>
        <w:pStyle w:val="ListBullet"/>
      </w:pPr>
      <w:r>
        <w:t>Previously observed PROP.TRADING / TTF DA / Mar-27 disappearance on 28/07 corresponded to a prior MtM of roughly EUR 6.46m.</w:t>
      </w:r>
    </w:p>
    <w:p>
      <w:pPr>
        <w:pStyle w:val="ListBullet"/>
      </w:pPr>
      <w:r>
        <w:t>Previously observed CGTO Jul-27 missing-PnL set on 23/07 corresponded to roughly EUR 8.22m of Exposure MtM.</w:t>
      </w:r>
    </w:p>
    <w:p>
      <w:pPr>
        <w:pStyle w:val="Heading1"/>
        <w:keepNext/>
      </w:pPr>
      <w:r>
        <w:t>13. Development / File Safety Guidance</w:t>
      </w:r>
    </w:p>
    <w:p>
      <w:pPr>
        <w:pStyle w:val="ListBullet"/>
      </w:pPr>
      <w:r>
        <w:t>Do not use Python/openpyxl to save the primary .xlsm workbook; this can alter or strip VBA. Use exported/imported .bas modules or controlled VBA edits in Excel.</w:t>
      </w:r>
    </w:p>
    <w:p>
      <w:pPr>
        <w:pStyle w:val="ListBullet"/>
      </w:pPr>
      <w:r>
        <w:t>Keep numbered backups before any VBA/module replacement.</w:t>
      </w:r>
    </w:p>
    <w:p>
      <w:pPr>
        <w:pStyle w:val="ListBullet"/>
      </w:pPr>
      <w:r>
        <w:t>Avoid repairing the massive legacy formula sheets; keep them as reference and gradually retire/archive them after v2 is accepted.</w:t>
      </w:r>
    </w:p>
    <w:p>
      <w:pPr>
        <w:pStyle w:val="ListBullet"/>
      </w:pPr>
      <w:r>
        <w:t>Clear table filters before output deletion/rebuild.</w:t>
      </w:r>
    </w:p>
    <w:p>
      <w:pPr>
        <w:pStyle w:val="ListBullet"/>
      </w:pPr>
      <w:r>
        <w:t>Run the complete v2 build in one session once coherence-gate logic is available, so all layers share a common Build ID.</w:t>
      </w:r>
    </w:p>
    <w:p>
      <w:pPr>
        <w:pStyle w:val="ListBullet"/>
      </w:pPr>
      <w:r>
        <w:t>After any structural VBA change, test a small deterministic case before a full-history rebuild.</w:t>
      </w:r>
    </w:p>
    <w:p>
      <w:pPr>
        <w:pStyle w:val="Heading1"/>
        <w:keepNext/>
      </w:pPr>
      <w:r>
        <w:t>14. Current Status at Handover</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D9EAF7"/>
          </w:tcPr>
          <w:p>
            <w:pPr>
              <w:jc w:val="left"/>
            </w:pPr>
            <w:r>
              <w:rPr>
                <w:b/>
                <w:sz w:val="18"/>
              </w:rPr>
              <w:t>Area</w:t>
            </w:r>
          </w:p>
        </w:tc>
        <w:tc>
          <w:tcPr>
            <w:tcW w:type="dxa" w:w="3389"/>
            <w:vAlign w:val="center"/>
            <w:shd w:fill="D9EAF7"/>
          </w:tcPr>
          <w:p>
            <w:pPr>
              <w:jc w:val="left"/>
            </w:pPr>
            <w:r>
              <w:rPr>
                <w:b/>
                <w:sz w:val="18"/>
              </w:rPr>
              <w:t>Status</w:t>
            </w:r>
          </w:p>
        </w:tc>
        <w:tc>
          <w:tcPr>
            <w:tcW w:type="dxa" w:w="3389"/>
            <w:vAlign w:val="center"/>
            <w:shd w:fill="D9EAF7"/>
          </w:tcPr>
          <w:p>
            <w:pPr>
              <w:jc w:val="left"/>
            </w:pPr>
            <w:r>
              <w:rPr>
                <w:b/>
                <w:sz w:val="18"/>
              </w:rPr>
              <w:t>Comment</w:t>
            </w:r>
          </w:p>
        </w:tc>
      </w:tr>
      <w:tr>
        <w:tc>
          <w:tcPr>
            <w:tcW w:type="dxa" w:w="3389"/>
            <w:vAlign w:val="center"/>
          </w:tcPr>
          <w:p>
            <w:pPr>
              <w:jc w:val="left"/>
            </w:pPr>
            <w:r>
              <w:rPr>
                <w:b w:val="0"/>
                <w:sz w:val="18"/>
              </w:rPr>
              <w:t>Initial position</w:t>
            </w:r>
          </w:p>
        </w:tc>
        <w:tc>
          <w:tcPr>
            <w:tcW w:type="dxa" w:w="3389"/>
            <w:vAlign w:val="center"/>
          </w:tcPr>
          <w:p>
            <w:pPr>
              <w:jc w:val="left"/>
            </w:pPr>
            <w:r>
              <w:rPr>
                <w:b w:val="0"/>
                <w:sz w:val="18"/>
              </w:rPr>
              <w:t>Implemented / previously validated</w:t>
            </w:r>
          </w:p>
        </w:tc>
        <w:tc>
          <w:tcPr>
            <w:tcW w:type="dxa" w:w="3389"/>
            <w:vAlign w:val="center"/>
          </w:tcPr>
          <w:p>
            <w:pPr>
              <w:jc w:val="left"/>
            </w:pPr>
            <w:r>
              <w:rPr>
                <w:b w:val="0"/>
                <w:sz w:val="18"/>
              </w:rPr>
              <w:t>Revalidate only if initial source or cut-off changes.</w:t>
            </w:r>
          </w:p>
        </w:tc>
      </w:tr>
      <w:tr>
        <w:tc>
          <w:tcPr>
            <w:tcW w:type="dxa" w:w="3389"/>
            <w:vAlign w:val="center"/>
          </w:tcPr>
          <w:p>
            <w:pPr>
              <w:jc w:val="left"/>
            </w:pPr>
            <w:r>
              <w:rPr>
                <w:b w:val="0"/>
                <w:sz w:val="18"/>
              </w:rPr>
              <w:t>Preflight</w:t>
            </w:r>
          </w:p>
        </w:tc>
        <w:tc>
          <w:tcPr>
            <w:tcW w:type="dxa" w:w="3389"/>
            <w:vAlign w:val="center"/>
          </w:tcPr>
          <w:p>
            <w:pPr>
              <w:jc w:val="left"/>
            </w:pPr>
            <w:r>
              <w:rPr>
                <w:b w:val="0"/>
                <w:sz w:val="18"/>
              </w:rPr>
              <w:t>PASS after Daily Qty rule update</w:t>
            </w:r>
          </w:p>
        </w:tc>
        <w:tc>
          <w:tcPr>
            <w:tcW w:type="dxa" w:w="3389"/>
            <w:vAlign w:val="center"/>
          </w:tcPr>
          <w:p>
            <w:pPr>
              <w:jc w:val="left"/>
            </w:pPr>
            <w:r>
              <w:rPr>
                <w:b w:val="0"/>
                <w:sz w:val="18"/>
              </w:rPr>
              <w:t>Daily Qty blanks are intended to be blocking.</w:t>
            </w:r>
          </w:p>
        </w:tc>
      </w:tr>
      <w:tr>
        <w:tc>
          <w:tcPr>
            <w:tcW w:type="dxa" w:w="3389"/>
            <w:vAlign w:val="center"/>
          </w:tcPr>
          <w:p>
            <w:pPr>
              <w:jc w:val="left"/>
            </w:pPr>
            <w:r>
              <w:rPr>
                <w:b w:val="0"/>
                <w:sz w:val="18"/>
              </w:rPr>
              <w:t>Fixings engine</w:t>
            </w:r>
          </w:p>
        </w:tc>
        <w:tc>
          <w:tcPr>
            <w:tcW w:type="dxa" w:w="3389"/>
            <w:vAlign w:val="center"/>
          </w:tcPr>
          <w:p>
            <w:pPr>
              <w:jc w:val="left"/>
            </w:pPr>
            <w:r>
              <w:rPr>
                <w:b w:val="0"/>
                <w:sz w:val="18"/>
              </w:rPr>
              <w:t>Implemented but correction pending</w:t>
            </w:r>
          </w:p>
        </w:tc>
        <w:tc>
          <w:tcPr>
            <w:tcW w:type="dxa" w:w="3389"/>
            <w:vAlign w:val="center"/>
          </w:tcPr>
          <w:p>
            <w:pPr>
              <w:jc w:val="left"/>
            </w:pPr>
            <w:r>
              <w:rPr>
                <w:b w:val="0"/>
                <w:sz w:val="18"/>
              </w:rPr>
              <w:t>Same-day trade fixing rule must change from &gt; to &gt;=.</w:t>
            </w:r>
          </w:p>
        </w:tc>
      </w:tr>
      <w:tr>
        <w:tc>
          <w:tcPr>
            <w:tcW w:type="dxa" w:w="3389"/>
            <w:vAlign w:val="center"/>
          </w:tcPr>
          <w:p>
            <w:pPr>
              <w:jc w:val="left"/>
            </w:pPr>
            <w:r>
              <w:rPr>
                <w:b w:val="0"/>
                <w:sz w:val="18"/>
              </w:rPr>
              <w:t>Exposure engine</w:t>
            </w:r>
          </w:p>
        </w:tc>
        <w:tc>
          <w:tcPr>
            <w:tcW w:type="dxa" w:w="3389"/>
            <w:vAlign w:val="center"/>
          </w:tcPr>
          <w:p>
            <w:pPr>
              <w:jc w:val="left"/>
            </w:pPr>
            <w:r>
              <w:rPr>
                <w:b w:val="0"/>
                <w:sz w:val="18"/>
              </w:rPr>
              <w:t>Implemented; timeline change just applied</w:t>
            </w:r>
          </w:p>
        </w:tc>
        <w:tc>
          <w:tcPr>
            <w:tcW w:type="dxa" w:w="3389"/>
            <w:vAlign w:val="center"/>
          </w:tcPr>
          <w:p>
            <w:pPr>
              <w:jc w:val="left"/>
            </w:pPr>
            <w:r>
              <w:rPr>
                <w:b w:val="0"/>
                <w:sz w:val="18"/>
              </w:rPr>
              <w:t>Needs same-day rule, deferred events and explicit zero closures; timeline change not yet full-build tested.</w:t>
            </w:r>
          </w:p>
        </w:tc>
      </w:tr>
      <w:tr>
        <w:tc>
          <w:tcPr>
            <w:tcW w:type="dxa" w:w="3389"/>
            <w:vAlign w:val="center"/>
          </w:tcPr>
          <w:p>
            <w:pPr>
              <w:jc w:val="left"/>
            </w:pPr>
            <w:r>
              <w:rPr>
                <w:b w:val="0"/>
                <w:sz w:val="18"/>
              </w:rPr>
              <w:t>PnL engine</w:t>
            </w:r>
          </w:p>
        </w:tc>
        <w:tc>
          <w:tcPr>
            <w:tcW w:type="dxa" w:w="3389"/>
            <w:vAlign w:val="center"/>
          </w:tcPr>
          <w:p>
            <w:pPr>
              <w:jc w:val="left"/>
            </w:pPr>
            <w:r>
              <w:rPr>
                <w:b w:val="0"/>
                <w:sz w:val="18"/>
              </w:rPr>
              <w:t>Implemented but not final</w:t>
            </w:r>
          </w:p>
        </w:tc>
        <w:tc>
          <w:tcPr>
            <w:tcW w:type="dxa" w:w="3389"/>
            <w:vAlign w:val="center"/>
          </w:tcPr>
          <w:p>
            <w:pPr>
              <w:jc w:val="left"/>
            </w:pPr>
            <w:r>
              <w:rPr>
                <w:b w:val="0"/>
                <w:sz w:val="18"/>
              </w:rPr>
              <w:t>Execution-price adjustment still external; confirm Brent/HH opening-curve rule and missing-key cases.</w:t>
            </w:r>
          </w:p>
        </w:tc>
      </w:tr>
      <w:tr>
        <w:tc>
          <w:tcPr>
            <w:tcW w:type="dxa" w:w="3389"/>
            <w:vAlign w:val="center"/>
          </w:tcPr>
          <w:p>
            <w:pPr>
              <w:jc w:val="left"/>
            </w:pPr>
            <w:r>
              <w:rPr>
                <w:b w:val="0"/>
                <w:sz w:val="18"/>
              </w:rPr>
              <w:t>Legacy reconciliation</w:t>
            </w:r>
          </w:p>
        </w:tc>
        <w:tc>
          <w:tcPr>
            <w:tcW w:type="dxa" w:w="3389"/>
            <w:vAlign w:val="center"/>
          </w:tcPr>
          <w:p>
            <w:pPr>
              <w:jc w:val="left"/>
            </w:pPr>
            <w:r>
              <w:rPr>
                <w:b w:val="0"/>
                <w:sz w:val="18"/>
              </w:rPr>
              <w:t>Reference only</w:t>
            </w:r>
          </w:p>
        </w:tc>
        <w:tc>
          <w:tcPr>
            <w:tcW w:type="dxa" w:w="3389"/>
            <w:vAlign w:val="center"/>
          </w:tcPr>
          <w:p>
            <w:pPr>
              <w:jc w:val="left"/>
            </w:pPr>
            <w:r>
              <w:rPr>
                <w:b w:val="0"/>
                <w:sz w:val="18"/>
              </w:rPr>
              <w:t>Do not use as authoritative acceptance criterion.</w:t>
            </w:r>
          </w:p>
        </w:tc>
      </w:tr>
      <w:tr>
        <w:tc>
          <w:tcPr>
            <w:tcW w:type="dxa" w:w="3389"/>
            <w:vAlign w:val="center"/>
          </w:tcPr>
          <w:p>
            <w:pPr>
              <w:jc w:val="left"/>
            </w:pPr>
            <w:r>
              <w:rPr>
                <w:b w:val="0"/>
                <w:sz w:val="18"/>
              </w:rPr>
              <w:t>Full coherent build</w:t>
            </w:r>
          </w:p>
        </w:tc>
        <w:tc>
          <w:tcPr>
            <w:tcW w:type="dxa" w:w="3389"/>
            <w:vAlign w:val="center"/>
          </w:tcPr>
          <w:p>
            <w:pPr>
              <w:jc w:val="left"/>
            </w:pPr>
            <w:r>
              <w:rPr>
                <w:b w:val="0"/>
                <w:sz w:val="18"/>
              </w:rPr>
              <w:t>NOT YET COMPLETED after latest corrections</w:t>
            </w:r>
          </w:p>
        </w:tc>
        <w:tc>
          <w:tcPr>
            <w:tcW w:type="dxa" w:w="3389"/>
            <w:vAlign w:val="center"/>
          </w:tcPr>
          <w:p>
            <w:pPr>
              <w:jc w:val="left"/>
            </w:pPr>
            <w:r>
              <w:rPr>
                <w:b w:val="0"/>
                <w:sz w:val="18"/>
              </w:rPr>
              <w:t>Must be performed after remaining structural fixes.</w:t>
            </w:r>
          </w:p>
        </w:tc>
      </w:tr>
      <w:tr>
        <w:tc>
          <w:tcPr>
            <w:tcW w:type="dxa" w:w="3389"/>
            <w:vAlign w:val="center"/>
          </w:tcPr>
          <w:p>
            <w:pPr>
              <w:jc w:val="left"/>
            </w:pPr>
            <w:r>
              <w:rPr>
                <w:b w:val="0"/>
                <w:sz w:val="18"/>
              </w:rPr>
              <w:t>Production readiness</w:t>
            </w:r>
          </w:p>
        </w:tc>
        <w:tc>
          <w:tcPr>
            <w:tcW w:type="dxa" w:w="3389"/>
            <w:vAlign w:val="center"/>
          </w:tcPr>
          <w:p>
            <w:pPr>
              <w:jc w:val="left"/>
            </w:pPr>
            <w:r>
              <w:rPr>
                <w:b w:val="0"/>
                <w:sz w:val="18"/>
              </w:rPr>
              <w:t>NOT READY</w:t>
            </w:r>
          </w:p>
        </w:tc>
        <w:tc>
          <w:tcPr>
            <w:tcW w:type="dxa" w:w="3389"/>
            <w:vAlign w:val="center"/>
          </w:tcPr>
          <w:p>
            <w:pPr>
              <w:jc w:val="left"/>
            </w:pPr>
            <w:r>
              <w:rPr>
                <w:b w:val="0"/>
                <w:sz w:val="18"/>
              </w:rPr>
              <w:t>Requires clean rebuild + independent economic acceptance.</w:t>
            </w:r>
          </w:p>
        </w:tc>
      </w:tr>
    </w:tbl>
    <w:p>
      <w:pPr>
        <w:pStyle w:val="Heading1"/>
        <w:keepNext/>
      </w:pPr>
      <w:r>
        <w:t>15. Handover Conclusion</w:t>
      </w:r>
    </w:p>
    <w:p>
      <w:r>
        <w:t>The project is beyond the proof-of-concept stage: the normalized GTM v2 data layers, core engines, preflight and diagnostics exist and substantial validation work has already been completed. However, the latest review uncovered structural issues that must be corrected before the model is trusted operationally. The main development objective is now consistency: Fixings, Exposure and PnL must share the same event eligibility and timeline, every build layer must belong to one coherent Build ID, and closures/events must be represented explicitly rather than inferred from missing rows.</w:t>
      </w:r>
    </w:p>
    <w:p>
      <w:r>
        <w:t>The highest-priority next action is to complete the remaining Exposure/Fixings structural corrections, run the targeted same-day-fixing regression test, and then execute one clean full-history build followed by independent economic validation. The legacy workbook should remain available for context, but it should no longer block or certify GTM v2.</w:t>
      </w:r>
    </w:p>
    <w:p>
      <w:pPr>
        <w:pStyle w:val="Heading1"/>
        <w:keepNext/>
      </w:pPr>
      <w:r>
        <w:t>Appendix A - Quick Start for the Next Developer</w:t>
      </w:r>
    </w:p>
    <w:p>
      <w:pPr>
        <w:pStyle w:val="ListNumber"/>
      </w:pPr>
      <w:r>
        <w:t>Open Gas_Trading_Model 030826.xlsm and review PROCESS, INITIAL POSITION, TRADES, SIMULATION TRADES, FIXINGS DATA, EXPOSURE DATA, PNL DATA, MODEL VALIDATION and MODEL CONTROL.</w:t>
      </w:r>
    </w:p>
    <w:p>
      <w:pPr>
        <w:pStyle w:val="ListNumber"/>
      </w:pPr>
      <w:r>
        <w:t>Confirm current process dates and Simulation status.</w:t>
      </w:r>
    </w:p>
    <w:p>
      <w:pPr>
        <w:pStyle w:val="ListNumber"/>
      </w:pPr>
      <w:r>
        <w:t>Review the current code in modGTMv2PreflightFixV2, modGTMv2FixingsEngineV4, modGTMv2ExposureEngineV2 and modGTMv2PnLEngine before changing anything.</w:t>
      </w:r>
    </w:p>
    <w:p>
      <w:pPr>
        <w:pStyle w:val="ListNumber"/>
      </w:pPr>
      <w:r>
        <w:t>Assume Legacy is diagnostic only; do not extend hard-coded formula ranges.</w:t>
      </w:r>
    </w:p>
    <w:p>
      <w:pPr>
        <w:pStyle w:val="ListNumber"/>
      </w:pPr>
      <w:r>
        <w:t>Continue the pending corrections in Section 8 in priority order.</w:t>
      </w:r>
    </w:p>
    <w:p>
      <w:pPr>
        <w:pStyle w:val="ListNumber"/>
      </w:pPr>
      <w:r>
        <w:t>Use the short regression test in Section 10 before any full rebuild.</w:t>
      </w:r>
    </w:p>
    <w:p>
      <w:pPr>
        <w:pStyle w:val="ListNumber"/>
      </w:pPr>
      <w:r>
        <w:t>After the clean build, validate technical consistency, internal consistency and independent economics separately.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Working document - 7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Gas Trading Model v2 - Technical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 Trading Model v2 - Technical Handover &amp; Development Status Report</dc:title>
  <dc:subject>Technical handover for GTM v2 Excel/VBA gas trading model</dc:subject>
  <dc:creator>OpenAI</dc:creator>
  <cp:keywords>gas trading, Excel, VBA, PnL, exposure, fixings, GTM v2</cp:keywords>
  <dc:description>generated by python-docx</dc:description>
  <cp:lastModifiedBy/>
  <cp:revision>1</cp:revision>
  <dcterms:created xsi:type="dcterms:W3CDTF">2013-12-23T23:15:00Z</dcterms:created>
  <dcterms:modified xsi:type="dcterms:W3CDTF">2013-12-23T23:15:00Z</dcterms:modified>
  <cp:category/>
</cp:coreProperties>
</file>