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GTM v2 — Golden Regression Test Pack</w:t>
      </w:r>
    </w:p>
    <w:p>
      <w:pPr>
        <w:jc w:val="center"/>
      </w:pPr>
      <w:r>
        <w:rPr>
          <w:i/>
          <w:sz w:val="22"/>
        </w:rPr>
        <w:t>Independent economic validation package for CODEX</w:t>
      </w:r>
    </w:p>
    <w:p>
      <w:pPr>
        <w:jc w:val="center"/>
      </w:pPr>
      <w:r>
        <w:rPr>
          <w:sz w:val="18"/>
        </w:rPr>
        <w:t>Working specification — 7 August 2026</w:t>
      </w:r>
    </w:p>
    <w:p>
      <w:pPr>
        <w:pStyle w:val="Heading1"/>
      </w:pPr>
      <w:r>
        <w:t>1. Purpose and validation philosophy</w:t>
      </w:r>
    </w:p>
    <w:p>
      <w:r>
        <w:t>This pack defines deterministic tests for validating the GTM v2 calculation engine independently from Legacy workbook outputs. The objective is to verify the economic logic of Fixings, Exposure and PnL, not to reproduce known Legacy defects.</w:t>
      </w:r>
    </w:p>
    <w:p>
      <w:pPr>
        <w:pStyle w:val="ListBullet"/>
        <w:spacing w:after="30"/>
      </w:pPr>
      <w:r>
        <w:t>Use synthetic inputs with explicit expected values wherever possible.</w:t>
      </w:r>
    </w:p>
    <w:p>
      <w:pPr>
        <w:pStyle w:val="ListBullet"/>
        <w:spacing w:after="30"/>
      </w:pPr>
      <w:r>
        <w:t>Use the normalized GTM v2 architecture: Initial Position → Fixings → Exposure → PnL → trade-entry adjustment.</w:t>
      </w:r>
    </w:p>
    <w:p>
      <w:pPr>
        <w:pStyle w:val="ListBullet"/>
        <w:spacing w:after="30"/>
      </w:pPr>
      <w:r>
        <w:t>Do not use Legacy sheets as the expected economic truth.</w:t>
      </w:r>
    </w:p>
    <w:p>
      <w:pPr>
        <w:pStyle w:val="ListBullet"/>
        <w:spacing w:after="30"/>
      </w:pPr>
      <w:r>
        <w:t>Retain full precision internally; round only for display or an explicitly defined accounting rule.</w:t>
      </w:r>
    </w:p>
    <w:p>
      <w:pPr>
        <w:pStyle w:val="ListBullet"/>
        <w:spacing w:after="30"/>
      </w:pPr>
      <w:r>
        <w:t>Every failure must identify the calculation layer and the exact key/date/product involved.</w:t>
      </w:r>
    </w:p>
    <w:p>
      <w:pPr>
        <w:pStyle w:val="Heading1"/>
      </w:pPr>
      <w:r>
        <w:t>2. Standard tolerances and conventions</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Volume tolerance</w:t>
            </w:r>
          </w:p>
        </w:tc>
        <w:tc>
          <w:tcPr>
            <w:tcW w:type="dxa" w:w="5083"/>
            <w:vAlign w:val="center"/>
          </w:tcPr>
          <w:p>
            <w:r/>
            <w:r>
              <w:rPr>
                <w:rFonts w:ascii="Aptos" w:hAnsi="Aptos"/>
                <w:b w:val="0"/>
                <w:sz w:val="17"/>
              </w:rPr>
              <w:t>1e-6 MWh</w:t>
            </w:r>
          </w:p>
        </w:tc>
      </w:tr>
      <w:tr>
        <w:tc>
          <w:tcPr>
            <w:tcW w:type="dxa" w:w="5083"/>
            <w:vAlign w:val="center"/>
            <w:shd w:fill="EDEDED"/>
          </w:tcPr>
          <w:p>
            <w:r/>
            <w:r>
              <w:rPr>
                <w:rFonts w:ascii="Aptos" w:hAnsi="Aptos"/>
                <w:b/>
                <w:sz w:val="17"/>
              </w:rPr>
              <w:t>Price tolerance</w:t>
            </w:r>
          </w:p>
        </w:tc>
        <w:tc>
          <w:tcPr>
            <w:tcW w:type="dxa" w:w="5083"/>
            <w:vAlign w:val="center"/>
          </w:tcPr>
          <w:p>
            <w:r/>
            <w:r>
              <w:rPr>
                <w:rFonts w:ascii="Aptos" w:hAnsi="Aptos"/>
                <w:b w:val="0"/>
                <w:sz w:val="17"/>
              </w:rPr>
              <w:t>1e-8</w:t>
            </w:r>
          </w:p>
        </w:tc>
      </w:tr>
      <w:tr>
        <w:tc>
          <w:tcPr>
            <w:tcW w:type="dxa" w:w="5083"/>
            <w:vAlign w:val="center"/>
            <w:shd w:fill="EDEDED"/>
          </w:tcPr>
          <w:p>
            <w:r/>
            <w:r>
              <w:rPr>
                <w:rFonts w:ascii="Aptos" w:hAnsi="Aptos"/>
                <w:b/>
                <w:sz w:val="17"/>
              </w:rPr>
              <w:t>PnL tolerance</w:t>
            </w:r>
          </w:p>
        </w:tc>
        <w:tc>
          <w:tcPr>
            <w:tcW w:type="dxa" w:w="5083"/>
            <w:vAlign w:val="center"/>
          </w:tcPr>
          <w:p>
            <w:r/>
            <w:r>
              <w:rPr>
                <w:rFonts w:ascii="Aptos" w:hAnsi="Aptos"/>
                <w:b w:val="0"/>
                <w:sz w:val="17"/>
              </w:rPr>
              <w:t>EUR 0.01</w:t>
            </w:r>
          </w:p>
        </w:tc>
      </w:tr>
      <w:tr>
        <w:tc>
          <w:tcPr>
            <w:tcW w:type="dxa" w:w="5083"/>
            <w:vAlign w:val="center"/>
            <w:shd w:fill="EDEDED"/>
          </w:tcPr>
          <w:p>
            <w:r/>
            <w:r>
              <w:rPr>
                <w:rFonts w:ascii="Aptos" w:hAnsi="Aptos"/>
                <w:b/>
                <w:sz w:val="17"/>
              </w:rPr>
              <w:t>Trade sign</w:t>
            </w:r>
          </w:p>
        </w:tc>
        <w:tc>
          <w:tcPr>
            <w:tcW w:type="dxa" w:w="5083"/>
            <w:vAlign w:val="center"/>
          </w:tcPr>
          <w:p>
            <w:r/>
            <w:r>
              <w:rPr>
                <w:rFonts w:ascii="Aptos" w:hAnsi="Aptos"/>
                <w:b w:val="0"/>
                <w:sz w:val="17"/>
              </w:rPr>
              <w:t>BUY = positive exposure; SELL = negative exposure</w:t>
            </w:r>
          </w:p>
        </w:tc>
      </w:tr>
      <w:tr>
        <w:tc>
          <w:tcPr>
            <w:tcW w:type="dxa" w:w="5083"/>
            <w:vAlign w:val="center"/>
            <w:shd w:fill="EDEDED"/>
          </w:tcPr>
          <w:p>
            <w:r/>
            <w:r>
              <w:rPr>
                <w:rFonts w:ascii="Aptos" w:hAnsi="Aptos"/>
                <w:b/>
                <w:sz w:val="17"/>
              </w:rPr>
              <w:t>Daily Qty</w:t>
            </w:r>
          </w:p>
        </w:tc>
        <w:tc>
          <w:tcPr>
            <w:tcW w:type="dxa" w:w="5083"/>
            <w:vAlign w:val="center"/>
          </w:tcPr>
          <w:p>
            <w:r/>
            <w:r>
              <w:rPr>
                <w:rFonts w:ascii="Aptos" w:hAnsi="Aptos"/>
                <w:b w:val="0"/>
                <w:sz w:val="17"/>
              </w:rPr>
              <w:t>Non-negative magnitude; BUY/SELL supplies the sign</w:t>
            </w:r>
          </w:p>
        </w:tc>
      </w:tr>
      <w:tr>
        <w:tc>
          <w:tcPr>
            <w:tcW w:type="dxa" w:w="5083"/>
            <w:vAlign w:val="center"/>
            <w:shd w:fill="EDEDED"/>
          </w:tcPr>
          <w:p>
            <w:r/>
            <w:r>
              <w:rPr>
                <w:rFonts w:ascii="Aptos" w:hAnsi="Aptos"/>
                <w:b/>
                <w:sz w:val="17"/>
              </w:rPr>
              <w:t>Blank Daily Qty</w:t>
            </w:r>
          </w:p>
        </w:tc>
        <w:tc>
          <w:tcPr>
            <w:tcW w:type="dxa" w:w="5083"/>
            <w:vAlign w:val="center"/>
          </w:tcPr>
          <w:p>
            <w:r/>
            <w:r>
              <w:rPr>
                <w:rFonts w:ascii="Aptos" w:hAnsi="Aptos"/>
                <w:b w:val="0"/>
                <w:sz w:val="17"/>
              </w:rPr>
              <w:t>Blocking validation error</w:t>
            </w:r>
          </w:p>
        </w:tc>
      </w:tr>
      <w:tr>
        <w:tc>
          <w:tcPr>
            <w:tcW w:type="dxa" w:w="5083"/>
            <w:vAlign w:val="center"/>
            <w:shd w:fill="EDEDED"/>
          </w:tcPr>
          <w:p>
            <w:r/>
            <w:r>
              <w:rPr>
                <w:rFonts w:ascii="Aptos" w:hAnsi="Aptos"/>
                <w:b/>
                <w:sz w:val="17"/>
              </w:rPr>
              <w:t>Negative Daily Qty</w:t>
            </w:r>
          </w:p>
        </w:tc>
        <w:tc>
          <w:tcPr>
            <w:tcW w:type="dxa" w:w="5083"/>
            <w:vAlign w:val="center"/>
          </w:tcPr>
          <w:p>
            <w:r/>
            <w:r>
              <w:rPr>
                <w:rFonts w:ascii="Aptos" w:hAnsi="Aptos"/>
                <w:b w:val="0"/>
                <w:sz w:val="17"/>
              </w:rPr>
              <w:t>Blocking validation error</w:t>
            </w:r>
          </w:p>
        </w:tc>
      </w:tr>
      <w:tr>
        <w:tc>
          <w:tcPr>
            <w:tcW w:type="dxa" w:w="5083"/>
            <w:vAlign w:val="center"/>
            <w:shd w:fill="EDEDED"/>
          </w:tcPr>
          <w:p>
            <w:r/>
            <w:r>
              <w:rPr>
                <w:rFonts w:ascii="Aptos" w:hAnsi="Aptos"/>
                <w:b/>
                <w:sz w:val="17"/>
              </w:rPr>
              <w:t>Explicit zero Daily Qty</w:t>
            </w:r>
          </w:p>
        </w:tc>
        <w:tc>
          <w:tcPr>
            <w:tcW w:type="dxa" w:w="5083"/>
            <w:vAlign w:val="center"/>
          </w:tcPr>
          <w:p>
            <w:r/>
            <w:r>
              <w:rPr>
                <w:rFonts w:ascii="Aptos" w:hAnsi="Aptos"/>
                <w:b w:val="0"/>
                <w:sz w:val="17"/>
              </w:rPr>
              <w:t>Allowed, but warning recommended</w:t>
            </w:r>
          </w:p>
        </w:tc>
      </w:tr>
      <w:tr>
        <w:tc>
          <w:tcPr>
            <w:tcW w:type="dxa" w:w="5083"/>
            <w:vAlign w:val="center"/>
            <w:shd w:fill="EDEDED"/>
          </w:tcPr>
          <w:p>
            <w:r/>
            <w:r>
              <w:rPr>
                <w:rFonts w:ascii="Aptos" w:hAnsi="Aptos"/>
                <w:b/>
                <w:sz w:val="17"/>
              </w:rPr>
              <w:t>Incremental trade boundary</w:t>
            </w:r>
          </w:p>
        </w:tc>
        <w:tc>
          <w:tcPr>
            <w:tcW w:type="dxa" w:w="5083"/>
            <w:vAlign w:val="center"/>
          </w:tcPr>
          <w:p>
            <w:r/>
            <w:r>
              <w:rPr>
                <w:rFonts w:ascii="Aptos" w:hAnsi="Aptos"/>
                <w:b w:val="0"/>
                <w:sz w:val="17"/>
              </w:rPr>
              <w:t>Trade Date &gt; Initial Market Date</w:t>
            </w:r>
          </w:p>
        </w:tc>
      </w:tr>
      <w:tr>
        <w:tc>
          <w:tcPr>
            <w:tcW w:type="dxa" w:w="5083"/>
            <w:vAlign w:val="center"/>
            <w:shd w:fill="EDEDED"/>
          </w:tcPr>
          <w:p>
            <w:r/>
            <w:r>
              <w:rPr>
                <w:rFonts w:ascii="Aptos" w:hAnsi="Aptos"/>
                <w:b/>
                <w:sz w:val="17"/>
              </w:rPr>
              <w:t>Same-day fixing</w:t>
            </w:r>
          </w:p>
        </w:tc>
        <w:tc>
          <w:tcPr>
            <w:tcW w:type="dxa" w:w="5083"/>
            <w:vAlign w:val="center"/>
          </w:tcPr>
          <w:p>
            <w:r/>
            <w:r>
              <w:rPr>
                <w:rFonts w:ascii="Aptos" w:hAnsi="Aptos"/>
                <w:b w:val="0"/>
                <w:sz w:val="17"/>
              </w:rPr>
              <w:t>Eligible when Fixing Date &gt;= Trade Date</w:t>
            </w:r>
          </w:p>
        </w:tc>
      </w:tr>
    </w:tbl>
    <w:p/>
    <w:p>
      <w:pPr>
        <w:pStyle w:val="Heading1"/>
      </w:pPr>
      <w:r>
        <w:t>3. TEST 1 — BUY / SELL sign convention</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Trade Date</w:t>
            </w:r>
          </w:p>
        </w:tc>
        <w:tc>
          <w:tcPr>
            <w:tcW w:type="dxa" w:w="5083"/>
            <w:vAlign w:val="center"/>
          </w:tcPr>
          <w:p>
            <w:r/>
            <w:r>
              <w:rPr>
                <w:rFonts w:ascii="Aptos" w:hAnsi="Aptos"/>
                <w:b w:val="0"/>
                <w:sz w:val="17"/>
              </w:rPr>
              <w:t>01/07/2026</w:t>
            </w:r>
          </w:p>
        </w:tc>
      </w:tr>
      <w:tr>
        <w:tc>
          <w:tcPr>
            <w:tcW w:type="dxa" w:w="5083"/>
            <w:vAlign w:val="center"/>
            <w:shd w:fill="EDEDED"/>
          </w:tcPr>
          <w:p>
            <w:r/>
            <w:r>
              <w:rPr>
                <w:rFonts w:ascii="Aptos" w:hAnsi="Aptos"/>
                <w:b/>
                <w:sz w:val="17"/>
              </w:rPr>
              <w:t>BOOK</w:t>
            </w:r>
          </w:p>
        </w:tc>
        <w:tc>
          <w:tcPr>
            <w:tcW w:type="dxa" w:w="5083"/>
            <w:vAlign w:val="center"/>
          </w:tcPr>
          <w:p>
            <w:r/>
            <w:r>
              <w:rPr>
                <w:rFonts w:ascii="Aptos" w:hAnsi="Aptos"/>
                <w:b w:val="0"/>
                <w:sz w:val="17"/>
              </w:rPr>
              <w:t>TEST</w:t>
            </w:r>
          </w:p>
        </w:tc>
      </w:tr>
      <w:tr>
        <w:tc>
          <w:tcPr>
            <w:tcW w:type="dxa" w:w="5083"/>
            <w:vAlign w:val="center"/>
            <w:shd w:fill="EDEDED"/>
          </w:tcPr>
          <w:p>
            <w:r/>
            <w:r>
              <w:rPr>
                <w:rFonts w:ascii="Aptos" w:hAnsi="Aptos"/>
                <w:b/>
                <w:sz w:val="17"/>
              </w:rPr>
              <w:t>Underlying</w:t>
            </w:r>
          </w:p>
        </w:tc>
        <w:tc>
          <w:tcPr>
            <w:tcW w:type="dxa" w:w="5083"/>
            <w:vAlign w:val="center"/>
          </w:tcPr>
          <w:p>
            <w:r/>
            <w:r>
              <w:rPr>
                <w:rFonts w:ascii="Aptos" w:hAnsi="Aptos"/>
                <w:b w:val="0"/>
                <w:sz w:val="17"/>
              </w:rPr>
              <w:t>TEST GAS</w:t>
            </w:r>
          </w:p>
        </w:tc>
      </w:tr>
      <w:tr>
        <w:tc>
          <w:tcPr>
            <w:tcW w:type="dxa" w:w="5083"/>
            <w:vAlign w:val="center"/>
            <w:shd w:fill="EDEDED"/>
          </w:tcPr>
          <w:p>
            <w:r/>
            <w:r>
              <w:rPr>
                <w:rFonts w:ascii="Aptos" w:hAnsi="Aptos"/>
                <w:b/>
                <w:sz w:val="17"/>
              </w:rPr>
              <w:t>Delivery</w:t>
            </w:r>
          </w:p>
        </w:tc>
        <w:tc>
          <w:tcPr>
            <w:tcW w:type="dxa" w:w="5083"/>
            <w:vAlign w:val="center"/>
          </w:tcPr>
          <w:p>
            <w:r/>
            <w:r>
              <w:rPr>
                <w:rFonts w:ascii="Aptos" w:hAnsi="Aptos"/>
                <w:b w:val="0"/>
                <w:sz w:val="17"/>
              </w:rPr>
              <w:t>01/09/2026</w:t>
            </w:r>
          </w:p>
        </w:tc>
      </w:tr>
      <w:tr>
        <w:tc>
          <w:tcPr>
            <w:tcW w:type="dxa" w:w="5083"/>
            <w:vAlign w:val="center"/>
            <w:shd w:fill="EDEDED"/>
          </w:tcPr>
          <w:p>
            <w:r/>
            <w:r>
              <w:rPr>
                <w:rFonts w:ascii="Aptos" w:hAnsi="Aptos"/>
                <w:b/>
                <w:sz w:val="17"/>
              </w:rPr>
              <w:t>Daily Qty</w:t>
            </w:r>
          </w:p>
        </w:tc>
        <w:tc>
          <w:tcPr>
            <w:tcW w:type="dxa" w:w="5083"/>
            <w:vAlign w:val="center"/>
          </w:tcPr>
          <w:p>
            <w:r/>
            <w:r>
              <w:rPr>
                <w:rFonts w:ascii="Aptos" w:hAnsi="Aptos"/>
                <w:b w:val="0"/>
                <w:sz w:val="17"/>
              </w:rPr>
              <w:t>100 MWh</w:t>
            </w:r>
          </w:p>
        </w:tc>
      </w:tr>
    </w:tbl>
    <w:p/>
    <w:p>
      <w:r>
        <w:t>Case A — BUY</w:t>
      </w:r>
    </w:p>
    <w:p>
      <w:pPr>
        <w:pStyle w:val="CodeBlock"/>
      </w:pPr>
      <w:r>
        <w:t>Input Side = BUY</w:t>
      </w:r>
      <w:r>
        <w:br/>
      </w:r>
      <w:r>
        <w:t>Expected signed exposure = +100 MWh</w:t>
      </w:r>
    </w:p>
    <w:p>
      <w:r>
        <w:t>Case B — SELL</w:t>
      </w:r>
    </w:p>
    <w:p>
      <w:pPr>
        <w:pStyle w:val="CodeBlock"/>
      </w:pPr>
      <w:r>
        <w:t>Input Side = SELL</w:t>
      </w:r>
      <w:r>
        <w:br/>
      </w:r>
      <w:r>
        <w:t>Expected signed exposure = -100 MWh</w:t>
      </w:r>
    </w:p>
    <w:p>
      <w:r>
        <w:t>Validation rules:</w:t>
      </w:r>
    </w:p>
    <w:p>
      <w:pPr>
        <w:pStyle w:val="ListBullet"/>
        <w:spacing w:after="30"/>
      </w:pPr>
      <w:r>
        <w:t>SELL -100 must not be interpreted as +100 by double-signing.</w:t>
      </w:r>
    </w:p>
    <w:p>
      <w:pPr>
        <w:pStyle w:val="ListBullet"/>
        <w:spacing w:after="30"/>
      </w:pPr>
      <w:r>
        <w:t>Negative Daily Qty must fail validation.</w:t>
      </w:r>
    </w:p>
    <w:p>
      <w:pPr>
        <w:pStyle w:val="ListBullet"/>
        <w:spacing w:after="30"/>
      </w:pPr>
      <w:r>
        <w:t>Blank Daily Qty must fail validation.</w:t>
      </w:r>
    </w:p>
    <w:p>
      <w:pPr>
        <w:pStyle w:val="ListBullet"/>
        <w:spacing w:after="30"/>
      </w:pPr>
      <w:r>
        <w:t>Explicit zero may be retained with a warning.</w:t>
      </w:r>
    </w:p>
    <w:p>
      <w:pPr>
        <w:pStyle w:val="Heading1"/>
      </w:pPr>
      <w:r>
        <w:t>4. TEST 2 — Trade-entry Exposure and PnL</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Previous Market Date</w:t>
            </w:r>
          </w:p>
        </w:tc>
        <w:tc>
          <w:tcPr>
            <w:tcW w:type="dxa" w:w="5083"/>
            <w:vAlign w:val="center"/>
          </w:tcPr>
          <w:p>
            <w:r/>
            <w:r>
              <w:rPr>
                <w:rFonts w:ascii="Aptos" w:hAnsi="Aptos"/>
                <w:b w:val="0"/>
                <w:sz w:val="17"/>
              </w:rPr>
              <w:t>30/06/2026</w:t>
            </w:r>
          </w:p>
        </w:tc>
      </w:tr>
      <w:tr>
        <w:tc>
          <w:tcPr>
            <w:tcW w:type="dxa" w:w="5083"/>
            <w:vAlign w:val="center"/>
            <w:shd w:fill="EDEDED"/>
          </w:tcPr>
          <w:p>
            <w:r/>
            <w:r>
              <w:rPr>
                <w:rFonts w:ascii="Aptos" w:hAnsi="Aptos"/>
                <w:b/>
                <w:sz w:val="17"/>
              </w:rPr>
              <w:t>Market Date</w:t>
            </w:r>
          </w:p>
        </w:tc>
        <w:tc>
          <w:tcPr>
            <w:tcW w:type="dxa" w:w="5083"/>
            <w:vAlign w:val="center"/>
          </w:tcPr>
          <w:p>
            <w:r/>
            <w:r>
              <w:rPr>
                <w:rFonts w:ascii="Aptos" w:hAnsi="Aptos"/>
                <w:b w:val="0"/>
                <w:sz w:val="17"/>
              </w:rPr>
              <w:t>01/07/2026</w:t>
            </w:r>
          </w:p>
        </w:tc>
      </w:tr>
      <w:tr>
        <w:tc>
          <w:tcPr>
            <w:tcW w:type="dxa" w:w="5083"/>
            <w:vAlign w:val="center"/>
            <w:shd w:fill="EDEDED"/>
          </w:tcPr>
          <w:p>
            <w:r/>
            <w:r>
              <w:rPr>
                <w:rFonts w:ascii="Aptos" w:hAnsi="Aptos"/>
                <w:b/>
                <w:sz w:val="17"/>
              </w:rPr>
              <w:t>Trade</w:t>
            </w:r>
          </w:p>
        </w:tc>
        <w:tc>
          <w:tcPr>
            <w:tcW w:type="dxa" w:w="5083"/>
            <w:vAlign w:val="center"/>
          </w:tcPr>
          <w:p>
            <w:r/>
            <w:r>
              <w:rPr>
                <w:rFonts w:ascii="Aptos" w:hAnsi="Aptos"/>
                <w:b w:val="0"/>
                <w:sz w:val="17"/>
              </w:rPr>
              <w:t>BUY 100 MWh Sep-26 @ 45.00 EUR/MWh</w:t>
            </w:r>
          </w:p>
        </w:tc>
      </w:tr>
      <w:tr>
        <w:tc>
          <w:tcPr>
            <w:tcW w:type="dxa" w:w="5083"/>
            <w:vAlign w:val="center"/>
            <w:shd w:fill="EDEDED"/>
          </w:tcPr>
          <w:p>
            <w:r/>
            <w:r>
              <w:rPr>
                <w:rFonts w:ascii="Aptos" w:hAnsi="Aptos"/>
                <w:b/>
                <w:sz w:val="17"/>
              </w:rPr>
              <w:t>Sep-26 curve on 30/06</w:t>
            </w:r>
          </w:p>
        </w:tc>
        <w:tc>
          <w:tcPr>
            <w:tcW w:type="dxa" w:w="5083"/>
            <w:vAlign w:val="center"/>
          </w:tcPr>
          <w:p>
            <w:r/>
            <w:r>
              <w:rPr>
                <w:rFonts w:ascii="Aptos" w:hAnsi="Aptos"/>
                <w:b w:val="0"/>
                <w:sz w:val="17"/>
              </w:rPr>
              <w:t>46.00 EUR/MWh</w:t>
            </w:r>
          </w:p>
        </w:tc>
      </w:tr>
      <w:tr>
        <w:tc>
          <w:tcPr>
            <w:tcW w:type="dxa" w:w="5083"/>
            <w:vAlign w:val="center"/>
            <w:shd w:fill="EDEDED"/>
          </w:tcPr>
          <w:p>
            <w:r/>
            <w:r>
              <w:rPr>
                <w:rFonts w:ascii="Aptos" w:hAnsi="Aptos"/>
                <w:b/>
                <w:sz w:val="17"/>
              </w:rPr>
              <w:t>Sep-26 curve on 01/07</w:t>
            </w:r>
          </w:p>
        </w:tc>
        <w:tc>
          <w:tcPr>
            <w:tcW w:type="dxa" w:w="5083"/>
            <w:vAlign w:val="center"/>
          </w:tcPr>
          <w:p>
            <w:r/>
            <w:r>
              <w:rPr>
                <w:rFonts w:ascii="Aptos" w:hAnsi="Aptos"/>
                <w:b w:val="0"/>
                <w:sz w:val="17"/>
              </w:rPr>
              <w:t>47.00 EUR/MWh</w:t>
            </w:r>
          </w:p>
        </w:tc>
      </w:tr>
    </w:tbl>
    <w:p/>
    <w:p>
      <w:pPr>
        <w:pStyle w:val="CodeBlock"/>
      </w:pPr>
      <w:r>
        <w:t>Before trade:</w:t>
      </w:r>
      <w:r>
        <w:br/>
      </w:r>
      <w:r>
        <w:t>Exposure = 0</w:t>
      </w:r>
      <w:r>
        <w:br/>
      </w:r>
      <w:r>
        <w:t>Exposure MtM = 0</w:t>
      </w:r>
      <w:r>
        <w:br/>
      </w:r>
      <w:r/>
      <w:r>
        <w:br/>
      </w:r>
      <w:r>
        <w:t>At 01/07:</w:t>
      </w:r>
      <w:r>
        <w:br/>
      </w:r>
      <w:r>
        <w:t>Exposure = +100 MWh</w:t>
      </w:r>
      <w:r>
        <w:br/>
      </w:r>
      <w:r>
        <w:t>Exposure MtM = 100 × 47 = EUR 4,700</w:t>
      </w:r>
      <w:r>
        <w:br/>
      </w:r>
      <w:r>
        <w:t>Gross Delta Exposure MtM = +4,700</w:t>
      </w:r>
      <w:r>
        <w:br/>
      </w:r>
      <w:r/>
      <w:r>
        <w:br/>
      </w:r>
      <w:r>
        <w:t>Economic trade-entry PnL = 100 × (47 - 45) = +EUR 200</w:t>
      </w:r>
      <w:r>
        <w:br/>
      </w:r>
      <w:r>
        <w:t>Trade-entry adjustment = -100 × 45 = -EUR 4,500</w:t>
      </w:r>
      <w:r>
        <w:br/>
      </w:r>
      <w:r/>
      <w:r>
        <w:br/>
      </w:r>
      <w:r>
        <w:t>Expected Total PnL = 4,700 - 4,500 = +EUR 200</w:t>
      </w:r>
    </w:p>
    <w:p>
      <w:r>
        <w:t>Critical assertion: a result of +EUR 4,700 is wrong.</w:t>
      </w:r>
    </w:p>
    <w:p>
      <w:r>
        <w:t>Mirror SELL case:</w:t>
      </w:r>
    </w:p>
    <w:p>
      <w:pPr>
        <w:pStyle w:val="CodeBlock"/>
      </w:pPr>
      <w:r>
        <w:t>SELL 100 MWh @ 45, market = 47</w:t>
      </w:r>
      <w:r>
        <w:br/>
      </w:r>
      <w:r>
        <w:t>Exposure = -100</w:t>
      </w:r>
      <w:r>
        <w:br/>
      </w:r>
      <w:r>
        <w:t>Exposure MtM = -4,700</w:t>
      </w:r>
      <w:r>
        <w:br/>
      </w:r>
      <w:r>
        <w:t>Trade-entry adjustment = +4,500</w:t>
      </w:r>
      <w:r>
        <w:br/>
      </w:r>
      <w:r>
        <w:t>Expected Total PnL = -EUR 200</w:t>
      </w:r>
    </w:p>
    <w:p>
      <w:pPr>
        <w:pStyle w:val="Heading1"/>
      </w:pPr>
      <w:r>
        <w:t>5. TEST 3 — Pure market movement after trade entry</w:t>
      </w:r>
    </w:p>
    <w:p>
      <w:r>
        <w:t>Continue TEST 2. No new trade on 02/07.</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01/07 curve</w:t>
            </w:r>
          </w:p>
        </w:tc>
        <w:tc>
          <w:tcPr>
            <w:tcW w:type="dxa" w:w="5083"/>
            <w:vAlign w:val="center"/>
          </w:tcPr>
          <w:p>
            <w:r/>
            <w:r>
              <w:rPr>
                <w:rFonts w:ascii="Aptos" w:hAnsi="Aptos"/>
                <w:b w:val="0"/>
                <w:sz w:val="17"/>
              </w:rPr>
              <w:t>47.00 EUR/MWh</w:t>
            </w:r>
          </w:p>
        </w:tc>
      </w:tr>
      <w:tr>
        <w:tc>
          <w:tcPr>
            <w:tcW w:type="dxa" w:w="5083"/>
            <w:vAlign w:val="center"/>
            <w:shd w:fill="EDEDED"/>
          </w:tcPr>
          <w:p>
            <w:r/>
            <w:r>
              <w:rPr>
                <w:rFonts w:ascii="Aptos" w:hAnsi="Aptos"/>
                <w:b/>
                <w:sz w:val="17"/>
              </w:rPr>
              <w:t>02/07 curve</w:t>
            </w:r>
          </w:p>
        </w:tc>
        <w:tc>
          <w:tcPr>
            <w:tcW w:type="dxa" w:w="5083"/>
            <w:vAlign w:val="center"/>
          </w:tcPr>
          <w:p>
            <w:r/>
            <w:r>
              <w:rPr>
                <w:rFonts w:ascii="Aptos" w:hAnsi="Aptos"/>
                <w:b w:val="0"/>
                <w:sz w:val="17"/>
              </w:rPr>
              <w:t>49.00 EUR/MWh</w:t>
            </w:r>
          </w:p>
        </w:tc>
      </w:tr>
      <w:tr>
        <w:tc>
          <w:tcPr>
            <w:tcW w:type="dxa" w:w="5083"/>
            <w:vAlign w:val="center"/>
            <w:shd w:fill="EDEDED"/>
          </w:tcPr>
          <w:p>
            <w:r/>
            <w:r>
              <w:rPr>
                <w:rFonts w:ascii="Aptos" w:hAnsi="Aptos"/>
                <w:b/>
                <w:sz w:val="17"/>
              </w:rPr>
              <w:t>Position</w:t>
            </w:r>
          </w:p>
        </w:tc>
        <w:tc>
          <w:tcPr>
            <w:tcW w:type="dxa" w:w="5083"/>
            <w:vAlign w:val="center"/>
          </w:tcPr>
          <w:p>
            <w:r/>
            <w:r>
              <w:rPr>
                <w:rFonts w:ascii="Aptos" w:hAnsi="Aptos"/>
                <w:b w:val="0"/>
                <w:sz w:val="17"/>
              </w:rPr>
              <w:t>+100 MWh</w:t>
            </w:r>
          </w:p>
        </w:tc>
      </w:tr>
    </w:tbl>
    <w:p/>
    <w:p>
      <w:pPr>
        <w:pStyle w:val="CodeBlock"/>
      </w:pPr>
      <w:r>
        <w:t>Exposure MtM 01/07 = EUR 4,700</w:t>
      </w:r>
      <w:r>
        <w:br/>
      </w:r>
      <w:r>
        <w:t>Exposure MtM 02/07 = EUR 4,900</w:t>
      </w:r>
      <w:r>
        <w:br/>
      </w:r>
      <w:r>
        <w:t>Delta Exposure MtM = +EUR 200</w:t>
      </w:r>
      <w:r>
        <w:br/>
      </w:r>
      <w:r>
        <w:t>Trade-entry adjustment = 0</w:t>
      </w:r>
      <w:r>
        <w:br/>
      </w:r>
      <w:r>
        <w:t>Fixing Amount = 0</w:t>
      </w:r>
      <w:r>
        <w:br/>
      </w:r>
      <w:r>
        <w:t>Expected Total PnL = +EUR 200</w:t>
      </w:r>
    </w:p>
    <w:p>
      <w:pPr>
        <w:pStyle w:val="Heading1"/>
      </w:pPr>
      <w:r>
        <w:t>6. TEST 4 — Full fixing and exposure closure</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Previous Market Date</w:t>
            </w:r>
          </w:p>
        </w:tc>
        <w:tc>
          <w:tcPr>
            <w:tcW w:type="dxa" w:w="5083"/>
            <w:vAlign w:val="center"/>
          </w:tcPr>
          <w:p>
            <w:r/>
            <w:r>
              <w:rPr>
                <w:rFonts w:ascii="Aptos" w:hAnsi="Aptos"/>
                <w:b w:val="0"/>
                <w:sz w:val="17"/>
              </w:rPr>
              <w:t>01/07/2026</w:t>
            </w:r>
          </w:p>
        </w:tc>
      </w:tr>
      <w:tr>
        <w:tc>
          <w:tcPr>
            <w:tcW w:type="dxa" w:w="5083"/>
            <w:vAlign w:val="center"/>
            <w:shd w:fill="EDEDED"/>
          </w:tcPr>
          <w:p>
            <w:r/>
            <w:r>
              <w:rPr>
                <w:rFonts w:ascii="Aptos" w:hAnsi="Aptos"/>
                <w:b/>
                <w:sz w:val="17"/>
              </w:rPr>
              <w:t>Open exposure</w:t>
            </w:r>
          </w:p>
        </w:tc>
        <w:tc>
          <w:tcPr>
            <w:tcW w:type="dxa" w:w="5083"/>
            <w:vAlign w:val="center"/>
          </w:tcPr>
          <w:p>
            <w:r/>
            <w:r>
              <w:rPr>
                <w:rFonts w:ascii="Aptos" w:hAnsi="Aptos"/>
                <w:b w:val="0"/>
                <w:sz w:val="17"/>
              </w:rPr>
              <w:t>+100 MWh</w:t>
            </w:r>
          </w:p>
        </w:tc>
      </w:tr>
      <w:tr>
        <w:tc>
          <w:tcPr>
            <w:tcW w:type="dxa" w:w="5083"/>
            <w:vAlign w:val="center"/>
            <w:shd w:fill="EDEDED"/>
          </w:tcPr>
          <w:p>
            <w:r/>
            <w:r>
              <w:rPr>
                <w:rFonts w:ascii="Aptos" w:hAnsi="Aptos"/>
                <w:b/>
                <w:sz w:val="17"/>
              </w:rPr>
              <w:t>Previous curve</w:t>
            </w:r>
          </w:p>
        </w:tc>
        <w:tc>
          <w:tcPr>
            <w:tcW w:type="dxa" w:w="5083"/>
            <w:vAlign w:val="center"/>
          </w:tcPr>
          <w:p>
            <w:r/>
            <w:r>
              <w:rPr>
                <w:rFonts w:ascii="Aptos" w:hAnsi="Aptos"/>
                <w:b w:val="0"/>
                <w:sz w:val="17"/>
              </w:rPr>
              <w:t>47.00 EUR/MWh</w:t>
            </w:r>
          </w:p>
        </w:tc>
      </w:tr>
      <w:tr>
        <w:tc>
          <w:tcPr>
            <w:tcW w:type="dxa" w:w="5083"/>
            <w:vAlign w:val="center"/>
            <w:shd w:fill="EDEDED"/>
          </w:tcPr>
          <w:p>
            <w:r/>
            <w:r>
              <w:rPr>
                <w:rFonts w:ascii="Aptos" w:hAnsi="Aptos"/>
                <w:b/>
                <w:sz w:val="17"/>
              </w:rPr>
              <w:t>Previous Exposure MtM</w:t>
            </w:r>
          </w:p>
        </w:tc>
        <w:tc>
          <w:tcPr>
            <w:tcW w:type="dxa" w:w="5083"/>
            <w:vAlign w:val="center"/>
          </w:tcPr>
          <w:p>
            <w:r/>
            <w:r>
              <w:rPr>
                <w:rFonts w:ascii="Aptos" w:hAnsi="Aptos"/>
                <w:b w:val="0"/>
                <w:sz w:val="17"/>
              </w:rPr>
              <w:t>EUR 4,700</w:t>
            </w:r>
          </w:p>
        </w:tc>
      </w:tr>
      <w:tr>
        <w:tc>
          <w:tcPr>
            <w:tcW w:type="dxa" w:w="5083"/>
            <w:vAlign w:val="center"/>
            <w:shd w:fill="EDEDED"/>
          </w:tcPr>
          <w:p>
            <w:r/>
            <w:r>
              <w:rPr>
                <w:rFonts w:ascii="Aptos" w:hAnsi="Aptos"/>
                <w:b/>
                <w:sz w:val="17"/>
              </w:rPr>
              <w:t>Fixing Date</w:t>
            </w:r>
          </w:p>
        </w:tc>
        <w:tc>
          <w:tcPr>
            <w:tcW w:type="dxa" w:w="5083"/>
            <w:vAlign w:val="center"/>
          </w:tcPr>
          <w:p>
            <w:r/>
            <w:r>
              <w:rPr>
                <w:rFonts w:ascii="Aptos" w:hAnsi="Aptos"/>
                <w:b w:val="0"/>
                <w:sz w:val="17"/>
              </w:rPr>
              <w:t>02/07/2026</w:t>
            </w:r>
          </w:p>
        </w:tc>
      </w:tr>
      <w:tr>
        <w:tc>
          <w:tcPr>
            <w:tcW w:type="dxa" w:w="5083"/>
            <w:vAlign w:val="center"/>
            <w:shd w:fill="EDEDED"/>
          </w:tcPr>
          <w:p>
            <w:r/>
            <w:r>
              <w:rPr>
                <w:rFonts w:ascii="Aptos" w:hAnsi="Aptos"/>
                <w:b/>
                <w:sz w:val="17"/>
              </w:rPr>
              <w:t>Full fixing price</w:t>
            </w:r>
          </w:p>
        </w:tc>
        <w:tc>
          <w:tcPr>
            <w:tcW w:type="dxa" w:w="5083"/>
            <w:vAlign w:val="center"/>
          </w:tcPr>
          <w:p>
            <w:r/>
            <w:r>
              <w:rPr>
                <w:rFonts w:ascii="Aptos" w:hAnsi="Aptos"/>
                <w:b w:val="0"/>
                <w:sz w:val="17"/>
              </w:rPr>
              <w:t>48.00 EUR/MWh</w:t>
            </w:r>
          </w:p>
        </w:tc>
      </w:tr>
    </w:tbl>
    <w:p/>
    <w:p>
      <w:pPr>
        <w:pStyle w:val="CodeBlock"/>
      </w:pPr>
      <w:r>
        <w:t>After fixing:</w:t>
      </w:r>
      <w:r>
        <w:br/>
      </w:r>
      <w:r>
        <w:t>Closing exposure = 0</w:t>
      </w:r>
      <w:r>
        <w:br/>
      </w:r>
      <w:r>
        <w:t>Closing Exposure MtM = 0</w:t>
      </w:r>
      <w:r>
        <w:br/>
      </w:r>
      <w:r>
        <w:t>Delta Exposure MtM = -EUR 4,700</w:t>
      </w:r>
      <w:r>
        <w:br/>
      </w:r>
      <w:r>
        <w:t>Economic fixing value = +EUR 4,800</w:t>
      </w:r>
      <w:r>
        <w:br/>
      </w:r>
      <w:r/>
      <w:r>
        <w:br/>
      </w:r>
      <w:r>
        <w:t>Expected daily economic PnL = -4,700 + 4,800 = +EUR 100</w:t>
      </w:r>
      <w:r>
        <w:br/>
      </w:r>
      <w:r/>
      <w:r>
        <w:br/>
      </w:r>
      <w:r>
        <w:t>Invariant:</w:t>
      </w:r>
      <w:r>
        <w:br/>
      </w:r>
      <w:r>
        <w:t>PnL on closure = 100 × (48 - 47) = +EUR 100</w:t>
      </w:r>
    </w:p>
    <w:p>
      <w:r>
        <w:t>Sign-convention investigation: if the raw fixing row stores -100 MWh to close a +100 MWh exposure, raw Fixing Amount may be -EUR 4,800. If so, the PnL engine must consume that raw amount with the appropriate sign so that the economic fixing contribution is +EUR 4,800. The final economic PnL must be +EUR 100.</w:t>
      </w:r>
    </w:p>
    <w:p>
      <w:pPr>
        <w:pStyle w:val="Heading1"/>
      </w:pPr>
      <w:r>
        <w:t>7. TEST 5 — Same-day fixing eligibility</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Trade Date</w:t>
            </w:r>
          </w:p>
        </w:tc>
        <w:tc>
          <w:tcPr>
            <w:tcW w:type="dxa" w:w="5083"/>
            <w:vAlign w:val="center"/>
          </w:tcPr>
          <w:p>
            <w:r/>
            <w:r>
              <w:rPr>
                <w:rFonts w:ascii="Aptos" w:hAnsi="Aptos"/>
                <w:b w:val="0"/>
                <w:sz w:val="17"/>
              </w:rPr>
              <w:t>14/07/2026</w:t>
            </w:r>
          </w:p>
        </w:tc>
      </w:tr>
      <w:tr>
        <w:tc>
          <w:tcPr>
            <w:tcW w:type="dxa" w:w="5083"/>
            <w:vAlign w:val="center"/>
            <w:shd w:fill="EDEDED"/>
          </w:tcPr>
          <w:p>
            <w:r/>
            <w:r>
              <w:rPr>
                <w:rFonts w:ascii="Aptos" w:hAnsi="Aptos"/>
                <w:b/>
                <w:sz w:val="17"/>
              </w:rPr>
              <w:t>Fixing Date</w:t>
            </w:r>
          </w:p>
        </w:tc>
        <w:tc>
          <w:tcPr>
            <w:tcW w:type="dxa" w:w="5083"/>
            <w:vAlign w:val="center"/>
          </w:tcPr>
          <w:p>
            <w:r/>
            <w:r>
              <w:rPr>
                <w:rFonts w:ascii="Aptos" w:hAnsi="Aptos"/>
                <w:b w:val="0"/>
                <w:sz w:val="17"/>
              </w:rPr>
              <w:t>14/07/2026</w:t>
            </w:r>
          </w:p>
        </w:tc>
      </w:tr>
      <w:tr>
        <w:tc>
          <w:tcPr>
            <w:tcW w:type="dxa" w:w="5083"/>
            <w:vAlign w:val="center"/>
            <w:shd w:fill="EDEDED"/>
          </w:tcPr>
          <w:p>
            <w:r/>
            <w:r>
              <w:rPr>
                <w:rFonts w:ascii="Aptos" w:hAnsi="Aptos"/>
                <w:b/>
                <w:sz w:val="17"/>
              </w:rPr>
              <w:t>Delivery Date</w:t>
            </w:r>
          </w:p>
        </w:tc>
        <w:tc>
          <w:tcPr>
            <w:tcW w:type="dxa" w:w="5083"/>
            <w:vAlign w:val="center"/>
          </w:tcPr>
          <w:p>
            <w:r/>
            <w:r>
              <w:rPr>
                <w:rFonts w:ascii="Aptos" w:hAnsi="Aptos"/>
                <w:b w:val="0"/>
                <w:sz w:val="17"/>
              </w:rPr>
              <w:t>15/07/2026</w:t>
            </w:r>
          </w:p>
        </w:tc>
      </w:tr>
      <w:tr>
        <w:tc>
          <w:tcPr>
            <w:tcW w:type="dxa" w:w="5083"/>
            <w:vAlign w:val="center"/>
            <w:shd w:fill="EDEDED"/>
          </w:tcPr>
          <w:p>
            <w:r/>
            <w:r>
              <w:rPr>
                <w:rFonts w:ascii="Aptos" w:hAnsi="Aptos"/>
                <w:b/>
                <w:sz w:val="17"/>
              </w:rPr>
              <w:t>Daily Qty</w:t>
            </w:r>
          </w:p>
        </w:tc>
        <w:tc>
          <w:tcPr>
            <w:tcW w:type="dxa" w:w="5083"/>
            <w:vAlign w:val="center"/>
          </w:tcPr>
          <w:p>
            <w:r/>
            <w:r>
              <w:rPr>
                <w:rFonts w:ascii="Aptos" w:hAnsi="Aptos"/>
                <w:b w:val="0"/>
                <w:sz w:val="17"/>
              </w:rPr>
              <w:t>100 MWh</w:t>
            </w:r>
          </w:p>
        </w:tc>
      </w:tr>
      <w:tr>
        <w:tc>
          <w:tcPr>
            <w:tcW w:type="dxa" w:w="5083"/>
            <w:vAlign w:val="center"/>
            <w:shd w:fill="EDEDED"/>
          </w:tcPr>
          <w:p>
            <w:r/>
            <w:r>
              <w:rPr>
                <w:rFonts w:ascii="Aptos" w:hAnsi="Aptos"/>
                <w:b/>
                <w:sz w:val="17"/>
              </w:rPr>
              <w:t>Methodology</w:t>
            </w:r>
          </w:p>
        </w:tc>
        <w:tc>
          <w:tcPr>
            <w:tcW w:type="dxa" w:w="5083"/>
            <w:vAlign w:val="center"/>
          </w:tcPr>
          <w:p>
            <w:r/>
            <w:r>
              <w:rPr>
                <w:rFonts w:ascii="Aptos" w:hAnsi="Aptos"/>
                <w:b w:val="0"/>
                <w:sz w:val="17"/>
              </w:rPr>
              <w:t>Configured DAY_AHEAD / applicable method</w:t>
            </w:r>
          </w:p>
        </w:tc>
      </w:tr>
    </w:tbl>
    <w:p/>
    <w:p>
      <w:pPr>
        <w:pStyle w:val="CodeBlock"/>
      </w:pPr>
      <w:r>
        <w:t>Expected eligibility rule:</w:t>
      </w:r>
      <w:r>
        <w:br/>
      </w:r>
      <w:r>
        <w:t>Fixing Date &gt;= Trade Date</w:t>
      </w:r>
      <w:r>
        <w:br/>
      </w:r>
      <w:r/>
      <w:r>
        <w:br/>
      </w:r>
      <w:r>
        <w:t>Expected result: the trade IS eligible for the 14/07 fixing.</w:t>
      </w:r>
    </w:p>
    <w:p>
      <w:r>
        <w:t>The Fixings and Exposure engines must use the identical eligibility rule.</w:t>
      </w:r>
    </w:p>
    <w:p>
      <w:pPr>
        <w:pStyle w:val="Heading1"/>
      </w:pPr>
      <w:r>
        <w:t>8. TEST 6 — Trade after all fixing opportunities</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Product</w:t>
            </w:r>
          </w:p>
        </w:tc>
        <w:tc>
          <w:tcPr>
            <w:tcW w:type="dxa" w:w="5083"/>
            <w:vAlign w:val="center"/>
          </w:tcPr>
          <w:p>
            <w:r/>
            <w:r>
              <w:rPr>
                <w:rFonts w:ascii="Aptos" w:hAnsi="Aptos"/>
                <w:b w:val="0"/>
                <w:sz w:val="17"/>
              </w:rPr>
              <w:t>MONTH_AHEAD</w:t>
            </w:r>
          </w:p>
        </w:tc>
      </w:tr>
      <w:tr>
        <w:tc>
          <w:tcPr>
            <w:tcW w:type="dxa" w:w="5083"/>
            <w:vAlign w:val="center"/>
            <w:shd w:fill="EDEDED"/>
          </w:tcPr>
          <w:p>
            <w:r/>
            <w:r>
              <w:rPr>
                <w:rFonts w:ascii="Aptos" w:hAnsi="Aptos"/>
                <w:b/>
                <w:sz w:val="17"/>
              </w:rPr>
              <w:t>Delivery</w:t>
            </w:r>
          </w:p>
        </w:tc>
        <w:tc>
          <w:tcPr>
            <w:tcW w:type="dxa" w:w="5083"/>
            <w:vAlign w:val="center"/>
          </w:tcPr>
          <w:p>
            <w:r/>
            <w:r>
              <w:rPr>
                <w:rFonts w:ascii="Aptos" w:hAnsi="Aptos"/>
                <w:b w:val="0"/>
                <w:sz w:val="17"/>
              </w:rPr>
              <w:t>Jun-26</w:t>
            </w:r>
          </w:p>
        </w:tc>
      </w:tr>
      <w:tr>
        <w:tc>
          <w:tcPr>
            <w:tcW w:type="dxa" w:w="5083"/>
            <w:vAlign w:val="center"/>
            <w:shd w:fill="EDEDED"/>
          </w:tcPr>
          <w:p>
            <w:r/>
            <w:r>
              <w:rPr>
                <w:rFonts w:ascii="Aptos" w:hAnsi="Aptos"/>
                <w:b/>
                <w:sz w:val="17"/>
              </w:rPr>
              <w:t>Fixing window</w:t>
            </w:r>
          </w:p>
        </w:tc>
        <w:tc>
          <w:tcPr>
            <w:tcW w:type="dxa" w:w="5083"/>
            <w:vAlign w:val="center"/>
          </w:tcPr>
          <w:p>
            <w:r/>
            <w:r>
              <w:rPr>
                <w:rFonts w:ascii="Aptos" w:hAnsi="Aptos"/>
                <w:b w:val="0"/>
                <w:sz w:val="17"/>
              </w:rPr>
              <w:t>May-26</w:t>
            </w:r>
          </w:p>
        </w:tc>
      </w:tr>
      <w:tr>
        <w:tc>
          <w:tcPr>
            <w:tcW w:type="dxa" w:w="5083"/>
            <w:vAlign w:val="center"/>
            <w:shd w:fill="EDEDED"/>
          </w:tcPr>
          <w:p>
            <w:r/>
            <w:r>
              <w:rPr>
                <w:rFonts w:ascii="Aptos" w:hAnsi="Aptos"/>
                <w:b/>
                <w:sz w:val="17"/>
              </w:rPr>
              <w:t>Trade Date</w:t>
            </w:r>
          </w:p>
        </w:tc>
        <w:tc>
          <w:tcPr>
            <w:tcW w:type="dxa" w:w="5083"/>
            <w:vAlign w:val="center"/>
          </w:tcPr>
          <w:p>
            <w:r/>
            <w:r>
              <w:rPr>
                <w:rFonts w:ascii="Aptos" w:hAnsi="Aptos"/>
                <w:b w:val="0"/>
                <w:sz w:val="17"/>
              </w:rPr>
              <w:t>10/06/2026</w:t>
            </w:r>
          </w:p>
        </w:tc>
      </w:tr>
    </w:tbl>
    <w:p/>
    <w:p>
      <w:pPr>
        <w:pStyle w:val="CodeBlock"/>
      </w:pPr>
      <w:r>
        <w:t>Expected result: BUILD / VALIDATION FAILURE</w:t>
      </w:r>
    </w:p>
    <w:p>
      <w:pPr>
        <w:pStyle w:val="ListBullet"/>
        <w:spacing w:after="30"/>
      </w:pPr>
      <w:r>
        <w:t>Do not fix immediately.</w:t>
      </w:r>
    </w:p>
    <w:p>
      <w:pPr>
        <w:pStyle w:val="ListBullet"/>
        <w:spacing w:after="30"/>
      </w:pPr>
      <w:r>
        <w:t>Do not automatically use Trade Price as Fixing Price.</w:t>
      </w:r>
    </w:p>
    <w:p>
      <w:pPr>
        <w:pStyle w:val="ListBullet"/>
        <w:spacing w:after="30"/>
      </w:pPr>
      <w:r>
        <w:t>Do not keep the volume open indefinitely.</w:t>
      </w:r>
    </w:p>
    <w:p>
      <w:pPr>
        <w:pStyle w:val="ListBullet"/>
        <w:spacing w:after="30"/>
      </w:pPr>
      <w:r>
        <w:t>Do not invent a catch-up rule.</w:t>
      </w:r>
    </w:p>
    <w:p>
      <w:pPr>
        <w:pStyle w:val="Heading1"/>
      </w:pPr>
      <w:r>
        <w:t>9. TEST 7 — Deferred weekend / holiday event</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Configured Market Dates</w:t>
            </w:r>
          </w:p>
        </w:tc>
        <w:tc>
          <w:tcPr>
            <w:tcW w:type="dxa" w:w="5083"/>
            <w:vAlign w:val="center"/>
          </w:tcPr>
          <w:p>
            <w:r/>
            <w:r>
              <w:rPr>
                <w:rFonts w:ascii="Aptos" w:hAnsi="Aptos"/>
                <w:b w:val="0"/>
                <w:sz w:val="17"/>
              </w:rPr>
              <w:t>Friday 10/07/2026; Monday 13/07/2026</w:t>
            </w:r>
          </w:p>
        </w:tc>
      </w:tr>
      <w:tr>
        <w:tc>
          <w:tcPr>
            <w:tcW w:type="dxa" w:w="5083"/>
            <w:vAlign w:val="center"/>
            <w:shd w:fill="EDEDED"/>
          </w:tcPr>
          <w:p>
            <w:r/>
            <w:r>
              <w:rPr>
                <w:rFonts w:ascii="Aptos" w:hAnsi="Aptos"/>
                <w:b/>
                <w:sz w:val="17"/>
              </w:rPr>
              <w:t>Trade Date</w:t>
            </w:r>
          </w:p>
        </w:tc>
        <w:tc>
          <w:tcPr>
            <w:tcW w:type="dxa" w:w="5083"/>
            <w:vAlign w:val="center"/>
          </w:tcPr>
          <w:p>
            <w:r/>
            <w:r>
              <w:rPr>
                <w:rFonts w:ascii="Aptos" w:hAnsi="Aptos"/>
                <w:b w:val="0"/>
                <w:sz w:val="17"/>
              </w:rPr>
              <w:t>Saturday 11/07/2026</w:t>
            </w:r>
          </w:p>
        </w:tc>
      </w:tr>
      <w:tr>
        <w:tc>
          <w:tcPr>
            <w:tcW w:type="dxa" w:w="5083"/>
            <w:vAlign w:val="center"/>
            <w:shd w:fill="EDEDED"/>
          </w:tcPr>
          <w:p>
            <w:r/>
            <w:r>
              <w:rPr>
                <w:rFonts w:ascii="Aptos" w:hAnsi="Aptos"/>
                <w:b/>
                <w:sz w:val="17"/>
              </w:rPr>
              <w:t>Trade</w:t>
            </w:r>
          </w:p>
        </w:tc>
        <w:tc>
          <w:tcPr>
            <w:tcW w:type="dxa" w:w="5083"/>
            <w:vAlign w:val="center"/>
          </w:tcPr>
          <w:p>
            <w:r/>
            <w:r>
              <w:rPr>
                <w:rFonts w:ascii="Aptos" w:hAnsi="Aptos"/>
                <w:b w:val="0"/>
                <w:sz w:val="17"/>
              </w:rPr>
              <w:t>BUY 100 MWh</w:t>
            </w:r>
          </w:p>
        </w:tc>
      </w:tr>
    </w:tbl>
    <w:p/>
    <w:p>
      <w:pPr>
        <w:pStyle w:val="CodeBlock"/>
      </w:pPr>
      <w:r>
        <w:t>Expected snapshots:</w:t>
      </w:r>
      <w:r>
        <w:br/>
      </w:r>
      <w:r>
        <w:t>10/07: trade not included</w:t>
      </w:r>
      <w:r>
        <w:br/>
      </w:r>
      <w:r>
        <w:t>11/07: no new Market Date row</w:t>
      </w:r>
      <w:r>
        <w:br/>
      </w:r>
      <w:r>
        <w:t>12/07: no new Market Date row</w:t>
      </w:r>
      <w:r>
        <w:br/>
      </w:r>
      <w:r>
        <w:t>13/07: trade included exactly once</w:t>
      </w:r>
      <w:r>
        <w:br/>
      </w:r>
      <w:r/>
      <w:r>
        <w:br/>
      </w:r>
      <w:r>
        <w:t>Expected exposure increment on 13/07 = +100 MWh</w:t>
      </w:r>
    </w:p>
    <w:p>
      <w:pPr>
        <w:pStyle w:val="ListBullet"/>
        <w:spacing w:after="30"/>
      </w:pPr>
      <w:r>
        <w:t>Preserve original Trade Date 11/07/2026 for audit.</w:t>
      </w:r>
    </w:p>
    <w:p>
      <w:pPr>
        <w:pStyle w:val="ListBullet"/>
        <w:spacing w:after="30"/>
      </w:pPr>
      <w:r>
        <w:t>Do not create an artificial Saturday output row if Saturday is not a Market Date.</w:t>
      </w:r>
    </w:p>
    <w:p>
      <w:pPr>
        <w:pStyle w:val="ListBullet"/>
        <w:spacing w:after="30"/>
      </w:pPr>
      <w:r>
        <w:t>Deferred-event logic must prevent the trade from being applied again on later Market Dates.</w:t>
      </w:r>
    </w:p>
    <w:p>
      <w:pPr>
        <w:pStyle w:val="Heading1"/>
      </w:pPr>
      <w:r>
        <w:t>10. TEST 8 — Explicit zero row on closure</w:t>
      </w:r>
    </w:p>
    <w:p>
      <w:pPr>
        <w:pStyle w:val="CodeBlock"/>
      </w:pPr>
      <w:r>
        <w:t>Underlying position:</w:t>
      </w:r>
      <w:r>
        <w:br/>
      </w:r>
      <w:r>
        <w:t>01/07: +100</w:t>
      </w:r>
      <w:r>
        <w:br/>
      </w:r>
      <w:r>
        <w:t>02/07:    0</w:t>
      </w:r>
      <w:r>
        <w:br/>
      </w:r>
      <w:r>
        <w:t>03/07:    0</w:t>
      </w:r>
      <w:r>
        <w:br/>
      </w:r>
      <w:r>
        <w:t>04/07:    0</w:t>
      </w:r>
      <w:r>
        <w:br/>
      </w:r>
      <w:r/>
      <w:r>
        <w:br/>
      </w:r>
      <w:r>
        <w:t>Expected output rows:</w:t>
      </w:r>
      <w:r>
        <w:br/>
      </w:r>
      <w:r>
        <w:t>01/07   +100</w:t>
      </w:r>
      <w:r>
        <w:br/>
      </w:r>
      <w:r>
        <w:t>02/07      0</w:t>
      </w:r>
      <w:r>
        <w:br/>
      </w:r>
      <w:r/>
      <w:r>
        <w:br/>
      </w:r>
      <w:r>
        <w:t>No 03/07 or 04/07 rows while the position remains closed.</w:t>
      </w:r>
      <w:r>
        <w:br/>
      </w:r>
      <w:r/>
      <w:r>
        <w:br/>
      </w:r>
      <w:r>
        <w:t>If the position reopens:</w:t>
      </w:r>
      <w:r>
        <w:br/>
      </w:r>
      <w:r>
        <w:t>05/07    +50</w:t>
      </w:r>
      <w:r>
        <w:br/>
      </w:r>
      <w:r>
        <w:t>then 05/07 must appear.</w:t>
      </w:r>
    </w:p>
    <w:p>
      <w:pPr>
        <w:pStyle w:val="Heading1"/>
      </w:pPr>
      <w:r>
        <w:t>11. TEST 9 — Missing required price</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Market Date</w:t>
            </w:r>
          </w:p>
        </w:tc>
        <w:tc>
          <w:tcPr>
            <w:tcW w:type="dxa" w:w="5083"/>
            <w:vAlign w:val="center"/>
          </w:tcPr>
          <w:p>
            <w:r/>
            <w:r>
              <w:rPr>
                <w:rFonts w:ascii="Aptos" w:hAnsi="Aptos"/>
                <w:b w:val="0"/>
                <w:sz w:val="17"/>
              </w:rPr>
              <w:t>01/07/2026</w:t>
            </w:r>
          </w:p>
        </w:tc>
      </w:tr>
      <w:tr>
        <w:tc>
          <w:tcPr>
            <w:tcW w:type="dxa" w:w="5083"/>
            <w:vAlign w:val="center"/>
            <w:shd w:fill="EDEDED"/>
          </w:tcPr>
          <w:p>
            <w:r/>
            <w:r>
              <w:rPr>
                <w:rFonts w:ascii="Aptos" w:hAnsi="Aptos"/>
                <w:b/>
                <w:sz w:val="17"/>
              </w:rPr>
              <w:t>Underlying</w:t>
            </w:r>
          </w:p>
        </w:tc>
        <w:tc>
          <w:tcPr>
            <w:tcW w:type="dxa" w:w="5083"/>
            <w:vAlign w:val="center"/>
          </w:tcPr>
          <w:p>
            <w:r/>
            <w:r>
              <w:rPr>
                <w:rFonts w:ascii="Aptos" w:hAnsi="Aptos"/>
                <w:b w:val="0"/>
                <w:sz w:val="17"/>
              </w:rPr>
              <w:t>TEST GAS</w:t>
            </w:r>
          </w:p>
        </w:tc>
      </w:tr>
      <w:tr>
        <w:tc>
          <w:tcPr>
            <w:tcW w:type="dxa" w:w="5083"/>
            <w:vAlign w:val="center"/>
            <w:shd w:fill="EDEDED"/>
          </w:tcPr>
          <w:p>
            <w:r/>
            <w:r>
              <w:rPr>
                <w:rFonts w:ascii="Aptos" w:hAnsi="Aptos"/>
                <w:b/>
                <w:sz w:val="17"/>
              </w:rPr>
              <w:t>Delivery Month</w:t>
            </w:r>
          </w:p>
        </w:tc>
        <w:tc>
          <w:tcPr>
            <w:tcW w:type="dxa" w:w="5083"/>
            <w:vAlign w:val="center"/>
          </w:tcPr>
          <w:p>
            <w:r/>
            <w:r>
              <w:rPr>
                <w:rFonts w:ascii="Aptos" w:hAnsi="Aptos"/>
                <w:b w:val="0"/>
                <w:sz w:val="17"/>
              </w:rPr>
              <w:t>Sep-26</w:t>
            </w:r>
          </w:p>
        </w:tc>
      </w:tr>
      <w:tr>
        <w:tc>
          <w:tcPr>
            <w:tcW w:type="dxa" w:w="5083"/>
            <w:vAlign w:val="center"/>
            <w:shd w:fill="EDEDED"/>
          </w:tcPr>
          <w:p>
            <w:r/>
            <w:r>
              <w:rPr>
                <w:rFonts w:ascii="Aptos" w:hAnsi="Aptos"/>
                <w:b/>
                <w:sz w:val="17"/>
              </w:rPr>
              <w:t>Exposure</w:t>
            </w:r>
          </w:p>
        </w:tc>
        <w:tc>
          <w:tcPr>
            <w:tcW w:type="dxa" w:w="5083"/>
            <w:vAlign w:val="center"/>
          </w:tcPr>
          <w:p>
            <w:r/>
            <w:r>
              <w:rPr>
                <w:rFonts w:ascii="Aptos" w:hAnsi="Aptos"/>
                <w:b w:val="0"/>
                <w:sz w:val="17"/>
              </w:rPr>
              <w:t>+100 MWh</w:t>
            </w:r>
          </w:p>
        </w:tc>
      </w:tr>
      <w:tr>
        <w:tc>
          <w:tcPr>
            <w:tcW w:type="dxa" w:w="5083"/>
            <w:vAlign w:val="center"/>
            <w:shd w:fill="EDEDED"/>
          </w:tcPr>
          <w:p>
            <w:r/>
            <w:r>
              <w:rPr>
                <w:rFonts w:ascii="Aptos" w:hAnsi="Aptos"/>
                <w:b/>
                <w:sz w:val="17"/>
              </w:rPr>
              <w:t>Curve price</w:t>
            </w:r>
          </w:p>
        </w:tc>
        <w:tc>
          <w:tcPr>
            <w:tcW w:type="dxa" w:w="5083"/>
            <w:vAlign w:val="center"/>
          </w:tcPr>
          <w:p>
            <w:r/>
            <w:r>
              <w:rPr>
                <w:rFonts w:ascii="Aptos" w:hAnsi="Aptos"/>
                <w:b w:val="0"/>
                <w:sz w:val="17"/>
              </w:rPr>
              <w:t>MISSING</w:t>
            </w:r>
          </w:p>
        </w:tc>
      </w:tr>
    </w:tbl>
    <w:p/>
    <w:p>
      <w:pPr>
        <w:pStyle w:val="CodeBlock"/>
      </w:pPr>
      <w:r>
        <w:t>Expected result: BUILD FAILURE</w:t>
      </w:r>
    </w:p>
    <w:p>
      <w:pPr>
        <w:pStyle w:val="ListBullet"/>
        <w:spacing w:after="30"/>
      </w:pPr>
      <w:r>
        <w:t>Error must identify at least Market Date, Underlying and Delivery Month.</w:t>
      </w:r>
    </w:p>
    <w:p>
      <w:pPr>
        <w:pStyle w:val="ListBullet"/>
        <w:spacing w:after="30"/>
      </w:pPr>
      <w:r>
        <w:t>Do not substitute zero.</w:t>
      </w:r>
    </w:p>
    <w:p>
      <w:pPr>
        <w:pStyle w:val="ListBullet"/>
        <w:spacing w:after="30"/>
      </w:pPr>
      <w:r>
        <w:t>Do not carry forward the previous price.</w:t>
      </w:r>
    </w:p>
    <w:p>
      <w:pPr>
        <w:pStyle w:val="ListBullet"/>
        <w:spacing w:after="30"/>
      </w:pPr>
      <w:r>
        <w:t>Do not interpolate silently.</w:t>
      </w:r>
    </w:p>
    <w:p>
      <w:pPr>
        <w:pStyle w:val="ListBullet"/>
        <w:spacing w:after="30"/>
      </w:pPr>
      <w:r>
        <w:t>A missing price not required by any included position/fixing does not need to block the build.</w:t>
      </w:r>
    </w:p>
    <w:p>
      <w:pPr>
        <w:pStyle w:val="Heading1"/>
      </w:pPr>
      <w:r>
        <w:t>12. TEST 10 — Operating PnL components</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Delta Exposure MtM</w:t>
            </w:r>
          </w:p>
        </w:tc>
        <w:tc>
          <w:tcPr>
            <w:tcW w:type="dxa" w:w="5083"/>
            <w:vAlign w:val="center"/>
          </w:tcPr>
          <w:p>
            <w:r/>
            <w:r>
              <w:rPr>
                <w:rFonts w:ascii="Aptos" w:hAnsi="Aptos"/>
                <w:b w:val="0"/>
                <w:sz w:val="17"/>
              </w:rPr>
              <w:t>+EUR 500</w:t>
            </w:r>
          </w:p>
        </w:tc>
      </w:tr>
      <w:tr>
        <w:tc>
          <w:tcPr>
            <w:tcW w:type="dxa" w:w="5083"/>
            <w:vAlign w:val="center"/>
            <w:shd w:fill="EDEDED"/>
          </w:tcPr>
          <w:p>
            <w:r/>
            <w:r>
              <w:rPr>
                <w:rFonts w:ascii="Aptos" w:hAnsi="Aptos"/>
                <w:b/>
                <w:sz w:val="17"/>
              </w:rPr>
              <w:t>Fixing PnL</w:t>
            </w:r>
          </w:p>
        </w:tc>
        <w:tc>
          <w:tcPr>
            <w:tcW w:type="dxa" w:w="5083"/>
            <w:vAlign w:val="center"/>
          </w:tcPr>
          <w:p>
            <w:r/>
            <w:r>
              <w:rPr>
                <w:rFonts w:ascii="Aptos" w:hAnsi="Aptos"/>
                <w:b w:val="0"/>
                <w:sz w:val="17"/>
              </w:rPr>
              <w:t>+EUR 200</w:t>
            </w:r>
          </w:p>
        </w:tc>
      </w:tr>
      <w:tr>
        <w:tc>
          <w:tcPr>
            <w:tcW w:type="dxa" w:w="5083"/>
            <w:vAlign w:val="center"/>
            <w:shd w:fill="EDEDED"/>
          </w:tcPr>
          <w:p>
            <w:r/>
            <w:r>
              <w:rPr>
                <w:rFonts w:ascii="Aptos" w:hAnsi="Aptos"/>
                <w:b/>
                <w:sz w:val="17"/>
              </w:rPr>
              <w:t>Logistical Costs</w:t>
            </w:r>
          </w:p>
        </w:tc>
        <w:tc>
          <w:tcPr>
            <w:tcW w:type="dxa" w:w="5083"/>
            <w:vAlign w:val="center"/>
          </w:tcPr>
          <w:p>
            <w:r/>
            <w:r>
              <w:rPr>
                <w:rFonts w:ascii="Aptos" w:hAnsi="Aptos"/>
                <w:b w:val="0"/>
                <w:sz w:val="17"/>
              </w:rPr>
              <w:t>-EUR 1,000</w:t>
            </w:r>
          </w:p>
        </w:tc>
      </w:tr>
      <w:tr>
        <w:tc>
          <w:tcPr>
            <w:tcW w:type="dxa" w:w="5083"/>
            <w:vAlign w:val="center"/>
            <w:shd w:fill="EDEDED"/>
          </w:tcPr>
          <w:p>
            <w:r/>
            <w:r>
              <w:rPr>
                <w:rFonts w:ascii="Aptos" w:hAnsi="Aptos"/>
                <w:b/>
                <w:sz w:val="17"/>
              </w:rPr>
              <w:t>Fees</w:t>
            </w:r>
          </w:p>
        </w:tc>
        <w:tc>
          <w:tcPr>
            <w:tcW w:type="dxa" w:w="5083"/>
            <w:vAlign w:val="center"/>
          </w:tcPr>
          <w:p>
            <w:r/>
            <w:r>
              <w:rPr>
                <w:rFonts w:ascii="Aptos" w:hAnsi="Aptos"/>
                <w:b w:val="0"/>
                <w:sz w:val="17"/>
              </w:rPr>
              <w:t>-EUR 100</w:t>
            </w:r>
          </w:p>
        </w:tc>
      </w:tr>
      <w:tr>
        <w:tc>
          <w:tcPr>
            <w:tcW w:type="dxa" w:w="5083"/>
            <w:vAlign w:val="center"/>
            <w:shd w:fill="EDEDED"/>
          </w:tcPr>
          <w:p>
            <w:r/>
            <w:r>
              <w:rPr>
                <w:rFonts w:ascii="Aptos" w:hAnsi="Aptos"/>
                <w:b/>
                <w:sz w:val="17"/>
              </w:rPr>
              <w:t>Optimizations</w:t>
            </w:r>
          </w:p>
        </w:tc>
        <w:tc>
          <w:tcPr>
            <w:tcW w:type="dxa" w:w="5083"/>
            <w:vAlign w:val="center"/>
          </w:tcPr>
          <w:p>
            <w:r/>
            <w:r>
              <w:rPr>
                <w:rFonts w:ascii="Aptos" w:hAnsi="Aptos"/>
                <w:b w:val="0"/>
                <w:sz w:val="17"/>
              </w:rPr>
              <w:t>+EUR 250</w:t>
            </w:r>
          </w:p>
        </w:tc>
      </w:tr>
      <w:tr>
        <w:tc>
          <w:tcPr>
            <w:tcW w:type="dxa" w:w="5083"/>
            <w:vAlign w:val="center"/>
            <w:shd w:fill="EDEDED"/>
          </w:tcPr>
          <w:p>
            <w:r/>
            <w:r>
              <w:rPr>
                <w:rFonts w:ascii="Aptos" w:hAnsi="Aptos"/>
                <w:b/>
                <w:sz w:val="17"/>
              </w:rPr>
              <w:t>Replication</w:t>
            </w:r>
          </w:p>
        </w:tc>
        <w:tc>
          <w:tcPr>
            <w:tcW w:type="dxa" w:w="5083"/>
            <w:vAlign w:val="center"/>
          </w:tcPr>
          <w:p>
            <w:r/>
            <w:r>
              <w:rPr>
                <w:rFonts w:ascii="Aptos" w:hAnsi="Aptos"/>
                <w:b w:val="0"/>
                <w:sz w:val="17"/>
              </w:rPr>
              <w:t>+EUR 50</w:t>
            </w:r>
          </w:p>
        </w:tc>
      </w:tr>
    </w:tbl>
    <w:p/>
    <w:p>
      <w:pPr>
        <w:pStyle w:val="CodeBlock"/>
      </w:pPr>
      <w:r>
        <w:t>Fees &amp; Optimizations = -100 + 250 = +EUR 150</w:t>
      </w:r>
      <w:r>
        <w:br/>
      </w:r>
      <w:r/>
      <w:r>
        <w:br/>
      </w:r>
      <w:r>
        <w:t>Expected Total PnL:</w:t>
      </w:r>
      <w:r>
        <w:br/>
      </w:r>
      <w:r>
        <w:t>+500</w:t>
      </w:r>
      <w:r>
        <w:br/>
      </w:r>
      <w:r>
        <w:t>+200</w:t>
      </w:r>
      <w:r>
        <w:br/>
      </w:r>
      <w:r>
        <w:t>-1,000</w:t>
      </w:r>
      <w:r>
        <w:br/>
      </w:r>
      <w:r>
        <w:t>+150</w:t>
      </w:r>
      <w:r>
        <w:br/>
      </w:r>
      <w:r>
        <w:t>+50</w:t>
      </w:r>
      <w:r>
        <w:br/>
      </w:r>
      <w:r>
        <w:t>= -EUR 100</w:t>
      </w:r>
    </w:p>
    <w:p>
      <w:r>
        <w:t>Operating-flow treatment:</w:t>
      </w:r>
    </w:p>
    <w:p>
      <w:pPr>
        <w:pStyle w:val="ListBullet"/>
        <w:spacing w:after="30"/>
      </w:pPr>
      <w:r>
        <w:t>Logistical Costs: COSTS B:N</w:t>
      </w:r>
    </w:p>
    <w:p>
      <w:pPr>
        <w:pStyle w:val="ListBullet"/>
        <w:spacing w:after="30"/>
      </w:pPr>
      <w:r>
        <w:t>Fees: COSTS O:P</w:t>
      </w:r>
    </w:p>
    <w:p>
      <w:pPr>
        <w:pStyle w:val="ListBullet"/>
        <w:spacing w:after="30"/>
      </w:pPr>
      <w:r>
        <w:t>Optimizations: Foto FO R:S</w:t>
      </w:r>
    </w:p>
    <w:p>
      <w:pPr>
        <w:pStyle w:val="ListBullet"/>
        <w:spacing w:after="30"/>
      </w:pPr>
      <w:r>
        <w:t>Replication: Foto FO T:V</w:t>
      </w:r>
    </w:p>
    <w:p>
      <w:pPr>
        <w:pStyle w:val="ListBullet"/>
        <w:spacing w:after="30"/>
      </w:pPr>
      <w:r>
        <w:t>These are daily flows for the Market Date, not D2 minus D1 changes.</w:t>
      </w:r>
    </w:p>
    <w:p>
      <w:pPr>
        <w:pStyle w:val="ListBullet"/>
        <w:spacing w:after="30"/>
      </w:pPr>
      <w:r>
        <w:t>If only BOOK-level detail exists, retain it at BOOK level rather than inventing product/month/scenario allocation.</w:t>
      </w:r>
    </w:p>
    <w:p>
      <w:pPr>
        <w:pStyle w:val="Heading1"/>
      </w:pPr>
      <w:r>
        <w:t>13. TEST 11 — Initial Market Date boundary</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Initial Market Date</w:t>
            </w:r>
          </w:p>
        </w:tc>
        <w:tc>
          <w:tcPr>
            <w:tcW w:type="dxa" w:w="5083"/>
            <w:vAlign w:val="center"/>
          </w:tcPr>
          <w:p>
            <w:r/>
            <w:r>
              <w:rPr>
                <w:rFonts w:ascii="Aptos" w:hAnsi="Aptos"/>
                <w:b w:val="0"/>
                <w:sz w:val="17"/>
              </w:rPr>
              <w:t>30/06/2026</w:t>
            </w:r>
          </w:p>
        </w:tc>
      </w:tr>
      <w:tr>
        <w:tc>
          <w:tcPr>
            <w:tcW w:type="dxa" w:w="5083"/>
            <w:vAlign w:val="center"/>
            <w:shd w:fill="EDEDED"/>
          </w:tcPr>
          <w:p>
            <w:r/>
            <w:r>
              <w:rPr>
                <w:rFonts w:ascii="Aptos" w:hAnsi="Aptos"/>
                <w:b/>
                <w:sz w:val="17"/>
              </w:rPr>
              <w:t>Trade A</w:t>
            </w:r>
          </w:p>
        </w:tc>
        <w:tc>
          <w:tcPr>
            <w:tcW w:type="dxa" w:w="5083"/>
            <w:vAlign w:val="center"/>
          </w:tcPr>
          <w:p>
            <w:r/>
            <w:r>
              <w:rPr>
                <w:rFonts w:ascii="Aptos" w:hAnsi="Aptos"/>
                <w:b w:val="0"/>
                <w:sz w:val="17"/>
              </w:rPr>
              <w:t>Trade Date 30/06/2026</w:t>
            </w:r>
          </w:p>
        </w:tc>
      </w:tr>
      <w:tr>
        <w:tc>
          <w:tcPr>
            <w:tcW w:type="dxa" w:w="5083"/>
            <w:vAlign w:val="center"/>
            <w:shd w:fill="EDEDED"/>
          </w:tcPr>
          <w:p>
            <w:r/>
            <w:r>
              <w:rPr>
                <w:rFonts w:ascii="Aptos" w:hAnsi="Aptos"/>
                <w:b/>
                <w:sz w:val="17"/>
              </w:rPr>
              <w:t>Trade B</w:t>
            </w:r>
          </w:p>
        </w:tc>
        <w:tc>
          <w:tcPr>
            <w:tcW w:type="dxa" w:w="5083"/>
            <w:vAlign w:val="center"/>
          </w:tcPr>
          <w:p>
            <w:r/>
            <w:r>
              <w:rPr>
                <w:rFonts w:ascii="Aptos" w:hAnsi="Aptos"/>
                <w:b w:val="0"/>
                <w:sz w:val="17"/>
              </w:rPr>
              <w:t>Trade Date 01/07/2026</w:t>
            </w:r>
          </w:p>
        </w:tc>
      </w:tr>
    </w:tbl>
    <w:p/>
    <w:p>
      <w:pPr>
        <w:pStyle w:val="CodeBlock"/>
      </w:pPr>
      <w:r>
        <w:t>Expected:</w:t>
      </w:r>
      <w:r>
        <w:br/>
      </w:r>
      <w:r>
        <w:t>Trade A must NOT be added as an incremental trade.</w:t>
      </w:r>
      <w:r>
        <w:br/>
      </w:r>
      <w:r>
        <w:t>Trade B must be added.</w:t>
      </w:r>
      <w:r>
        <w:br/>
      </w:r>
      <w:r/>
      <w:r>
        <w:br/>
      </w:r>
      <w:r>
        <w:t>Rule:</w:t>
      </w:r>
      <w:r>
        <w:br/>
      </w:r>
      <w:r>
        <w:t>Incremental trade if and only if Trade Date &gt; Initial Market Date.</w:t>
      </w:r>
    </w:p>
    <w:p>
      <w:pPr>
        <w:pStyle w:val="Heading1"/>
      </w:pPr>
      <w:r>
        <w:t>14. TEST 12 — End-to-end conservation test</w:t>
      </w:r>
    </w:p>
    <w:p>
      <w:r>
        <w:t>This is the primary golden economic integration test.</w:t>
      </w:r>
    </w:p>
    <w:tbl>
      <w:tblPr>
        <w:tblStyle w:val="TableGrid"/>
        <w:tblW w:type="auto" w:w="0"/>
        <w:jc w:val="center"/>
        <w:tblLook w:firstColumn="1" w:firstRow="1" w:lastColumn="0" w:lastRow="0" w:noHBand="0" w:noVBand="1" w:val="04A0"/>
      </w:tblPr>
      <w:tblGrid>
        <w:gridCol w:w="3096"/>
        <w:gridCol w:w="7056"/>
      </w:tblGrid>
      <w:tr>
        <w:tc>
          <w:tcPr>
            <w:tcW w:type="dxa" w:w="5083"/>
            <w:vAlign w:val="center"/>
            <w:shd w:fill="EDEDED"/>
          </w:tcPr>
          <w:p>
            <w:r/>
            <w:r>
              <w:rPr>
                <w:rFonts w:ascii="Aptos" w:hAnsi="Aptos"/>
                <w:b/>
                <w:sz w:val="17"/>
              </w:rPr>
              <w:t>Initial exposure at 30/06</w:t>
            </w:r>
          </w:p>
        </w:tc>
        <w:tc>
          <w:tcPr>
            <w:tcW w:type="dxa" w:w="5083"/>
            <w:vAlign w:val="center"/>
          </w:tcPr>
          <w:p>
            <w:r/>
            <w:r>
              <w:rPr>
                <w:rFonts w:ascii="Aptos" w:hAnsi="Aptos"/>
                <w:b w:val="0"/>
                <w:sz w:val="17"/>
              </w:rPr>
              <w:t>0 MWh</w:t>
            </w:r>
          </w:p>
        </w:tc>
      </w:tr>
      <w:tr>
        <w:tc>
          <w:tcPr>
            <w:tcW w:type="dxa" w:w="5083"/>
            <w:vAlign w:val="center"/>
            <w:shd w:fill="EDEDED"/>
          </w:tcPr>
          <w:p>
            <w:r/>
            <w:r>
              <w:rPr>
                <w:rFonts w:ascii="Aptos" w:hAnsi="Aptos"/>
                <w:b/>
                <w:sz w:val="17"/>
              </w:rPr>
              <w:t>01/07 trade</w:t>
            </w:r>
          </w:p>
        </w:tc>
        <w:tc>
          <w:tcPr>
            <w:tcW w:type="dxa" w:w="5083"/>
            <w:vAlign w:val="center"/>
          </w:tcPr>
          <w:p>
            <w:r/>
            <w:r>
              <w:rPr>
                <w:rFonts w:ascii="Aptos" w:hAnsi="Aptos"/>
                <w:b w:val="0"/>
                <w:sz w:val="17"/>
              </w:rPr>
              <w:t>BUY 100 Sep-26 @ 45.00</w:t>
            </w:r>
          </w:p>
        </w:tc>
      </w:tr>
      <w:tr>
        <w:tc>
          <w:tcPr>
            <w:tcW w:type="dxa" w:w="5083"/>
            <w:vAlign w:val="center"/>
            <w:shd w:fill="EDEDED"/>
          </w:tcPr>
          <w:p>
            <w:r/>
            <w:r>
              <w:rPr>
                <w:rFonts w:ascii="Aptos" w:hAnsi="Aptos"/>
                <w:b/>
                <w:sz w:val="17"/>
              </w:rPr>
              <w:t>01/07 Sep curve</w:t>
            </w:r>
          </w:p>
        </w:tc>
        <w:tc>
          <w:tcPr>
            <w:tcW w:type="dxa" w:w="5083"/>
            <w:vAlign w:val="center"/>
          </w:tcPr>
          <w:p>
            <w:r/>
            <w:r>
              <w:rPr>
                <w:rFonts w:ascii="Aptos" w:hAnsi="Aptos"/>
                <w:b w:val="0"/>
                <w:sz w:val="17"/>
              </w:rPr>
              <w:t>47.00</w:t>
            </w:r>
          </w:p>
        </w:tc>
      </w:tr>
      <w:tr>
        <w:tc>
          <w:tcPr>
            <w:tcW w:type="dxa" w:w="5083"/>
            <w:vAlign w:val="center"/>
            <w:shd w:fill="EDEDED"/>
          </w:tcPr>
          <w:p>
            <w:r/>
            <w:r>
              <w:rPr>
                <w:rFonts w:ascii="Aptos" w:hAnsi="Aptos"/>
                <w:b/>
                <w:sz w:val="17"/>
              </w:rPr>
              <w:t>02/07 Sep curve</w:t>
            </w:r>
          </w:p>
        </w:tc>
        <w:tc>
          <w:tcPr>
            <w:tcW w:type="dxa" w:w="5083"/>
            <w:vAlign w:val="center"/>
          </w:tcPr>
          <w:p>
            <w:r/>
            <w:r>
              <w:rPr>
                <w:rFonts w:ascii="Aptos" w:hAnsi="Aptos"/>
                <w:b w:val="0"/>
                <w:sz w:val="17"/>
              </w:rPr>
              <w:t>49.00</w:t>
            </w:r>
          </w:p>
        </w:tc>
      </w:tr>
      <w:tr>
        <w:tc>
          <w:tcPr>
            <w:tcW w:type="dxa" w:w="5083"/>
            <w:vAlign w:val="center"/>
            <w:shd w:fill="EDEDED"/>
          </w:tcPr>
          <w:p>
            <w:r/>
            <w:r>
              <w:rPr>
                <w:rFonts w:ascii="Aptos" w:hAnsi="Aptos"/>
                <w:b/>
                <w:sz w:val="17"/>
              </w:rPr>
              <w:t>03/07 full fixing</w:t>
            </w:r>
          </w:p>
        </w:tc>
        <w:tc>
          <w:tcPr>
            <w:tcW w:type="dxa" w:w="5083"/>
            <w:vAlign w:val="center"/>
          </w:tcPr>
          <w:p>
            <w:r/>
            <w:r>
              <w:rPr>
                <w:rFonts w:ascii="Aptos" w:hAnsi="Aptos"/>
                <w:b w:val="0"/>
                <w:sz w:val="17"/>
              </w:rPr>
              <w:t>50.00</w:t>
            </w:r>
          </w:p>
        </w:tc>
      </w:tr>
    </w:tbl>
    <w:p/>
    <w:p>
      <w:r>
        <w:t>01/07 expected:</w:t>
      </w:r>
    </w:p>
    <w:p>
      <w:pPr>
        <w:pStyle w:val="CodeBlock"/>
      </w:pPr>
      <w:r>
        <w:t>Closing exposure = +100</w:t>
      </w:r>
      <w:r>
        <w:br/>
      </w:r>
      <w:r>
        <w:t>Exposure MtM = EUR 4,700</w:t>
      </w:r>
      <w:r>
        <w:br/>
      </w:r>
      <w:r>
        <w:t>Gross Delta MtM = +EUR 4,700</w:t>
      </w:r>
      <w:r>
        <w:br/>
      </w:r>
      <w:r>
        <w:t>Trade-entry adjustment = -EUR 4,500</w:t>
      </w:r>
      <w:r>
        <w:br/>
      </w:r>
      <w:r>
        <w:t>Daily PnL = +EUR 200</w:t>
      </w:r>
    </w:p>
    <w:p>
      <w:r>
        <w:t>02/07 expected:</w:t>
      </w:r>
    </w:p>
    <w:p>
      <w:pPr>
        <w:pStyle w:val="CodeBlock"/>
      </w:pPr>
      <w:r>
        <w:t>Closing exposure = +100</w:t>
      </w:r>
      <w:r>
        <w:br/>
      </w:r>
      <w:r>
        <w:t>Exposure MtM = EUR 4,900</w:t>
      </w:r>
      <w:r>
        <w:br/>
      </w:r>
      <w:r>
        <w:t>Delta Exposure MtM = +EUR 200</w:t>
      </w:r>
      <w:r>
        <w:br/>
      </w:r>
      <w:r>
        <w:t>Daily PnL = +EUR 200</w:t>
      </w:r>
    </w:p>
    <w:p>
      <w:r>
        <w:t>03/07 expected:</w:t>
      </w:r>
    </w:p>
    <w:p>
      <w:pPr>
        <w:pStyle w:val="CodeBlock"/>
      </w:pPr>
      <w:r>
        <w:t>Closing exposure = 0</w:t>
      </w:r>
      <w:r>
        <w:br/>
      </w:r>
      <w:r>
        <w:t>Exposure MtM = 0</w:t>
      </w:r>
      <w:r>
        <w:br/>
      </w:r>
      <w:r>
        <w:t>Delta Exposure MtM = -EUR 4,900</w:t>
      </w:r>
      <w:r>
        <w:br/>
      </w:r>
      <w:r>
        <w:t>Economic fixing value = +EUR 5,000</w:t>
      </w:r>
      <w:r>
        <w:br/>
      </w:r>
      <w:r>
        <w:t>Daily PnL = +EUR 100</w:t>
      </w:r>
    </w:p>
    <w:p>
      <w:r>
        <w:t>Cumulative result:</w:t>
      </w:r>
    </w:p>
    <w:p>
      <w:pPr>
        <w:pStyle w:val="CodeBlock"/>
      </w:pPr>
      <w:r>
        <w:t>Daily PnL sum = 200 + 200 + 100 = EUR 500</w:t>
      </w:r>
      <w:r>
        <w:br/>
      </w:r>
      <w:r/>
      <w:r>
        <w:br/>
      </w:r>
      <w:r>
        <w:t>Independent economics:</w:t>
      </w:r>
      <w:r>
        <w:br/>
      </w:r>
      <w:r>
        <w:t>100 × (Final Fixing Price 50 - Trade Price 45)</w:t>
      </w:r>
      <w:r>
        <w:br/>
      </w:r>
      <w:r>
        <w:t>= EUR 500</w:t>
      </w:r>
      <w:r>
        <w:br/>
      </w:r>
      <w:r/>
      <w:r>
        <w:br/>
      </w:r>
      <w:r>
        <w:t>These two calculations MUST agree.</w:t>
      </w:r>
    </w:p>
    <w:p>
      <w:pPr>
        <w:pStyle w:val="Heading1"/>
      </w:pPr>
      <w:r>
        <w:t>15. Additional real-workbook regression checks</w:t>
      </w:r>
    </w:p>
    <w:p>
      <w:r>
        <w:t>Run these only after the synthetic golden tests pass. These are diagnostic references, not acceptance targets.</w:t>
      </w:r>
    </w:p>
    <w:p>
      <w:pPr>
        <w:pStyle w:val="ListBullet"/>
        <w:spacing w:after="30"/>
      </w:pPr>
      <w:r>
        <w:t>CGTO trade-entry analysis around 09/07: Jan-27 ACTUAL TTF adjustment previously observed around EUR -157,651.49; Mar-27 ACTUAL TTF around EUR +84,711.60.</w:t>
      </w:r>
    </w:p>
    <w:p>
      <w:pPr>
        <w:pStyle w:val="ListBullet"/>
        <w:spacing w:after="30"/>
      </w:pPr>
      <w:r>
        <w:t>Do NOT reproduce the former 267.646 MWh Jan/Mar discrepancy deliberately; it was explained by Legacy formulas truncating the TRADES range at row 202.</w:t>
      </w:r>
    </w:p>
    <w:p>
      <w:pPr>
        <w:pStyle w:val="ListBullet"/>
        <w:spacing w:after="30"/>
      </w:pPr>
      <w:r>
        <w:t>Re-test PROP.TRADING / TTF DA / Mar-27 on 28/07: position previously disappeared despite a prior MtM of approximately EUR 6.46m.</w:t>
      </w:r>
    </w:p>
    <w:p>
      <w:pPr>
        <w:pStyle w:val="ListBullet"/>
        <w:spacing w:after="30"/>
      </w:pPr>
      <w:r>
        <w:t>Re-test the CGTO Jul-27 set on 23/07: approximately EUR 8.22m of Exposure MtM previously had no corresponding PnL.</w:t>
      </w:r>
    </w:p>
    <w:p>
      <w:pPr>
        <w:pStyle w:val="ListBullet"/>
        <w:spacing w:after="30"/>
      </w:pPr>
      <w:r>
        <w:t>Investigate all such cases from source trades, calendars, curves and fixing rules; do not force the new engine to match known Legacy defects.</w:t>
      </w:r>
    </w:p>
    <w:p>
      <w:pPr>
        <w:pStyle w:val="Heading1"/>
      </w:pPr>
      <w:r>
        <w:t>16. Required CODEX test report</w:t>
      </w:r>
    </w:p>
    <w:p>
      <w:r>
        <w:t>For every test, return the following fields:</w:t>
      </w:r>
    </w:p>
    <w:p>
      <w:pPr>
        <w:pStyle w:val="CodeBlock"/>
      </w:pPr>
      <w:r>
        <w:t>Test ID</w:t>
      </w:r>
      <w:r>
        <w:br/>
      </w:r>
      <w:r>
        <w:t>PASS / FAIL</w:t>
      </w:r>
      <w:r>
        <w:br/>
      </w:r>
      <w:r>
        <w:t>Input</w:t>
      </w:r>
      <w:r>
        <w:br/>
      </w:r>
      <w:r>
        <w:t>Expected Fixings</w:t>
      </w:r>
      <w:r>
        <w:br/>
      </w:r>
      <w:r>
        <w:t>Actual Fixings</w:t>
      </w:r>
      <w:r>
        <w:br/>
      </w:r>
      <w:r>
        <w:t>Expected Exposure</w:t>
      </w:r>
      <w:r>
        <w:br/>
      </w:r>
      <w:r>
        <w:t>Actual Exposure</w:t>
      </w:r>
      <w:r>
        <w:br/>
      </w:r>
      <w:r>
        <w:t>Expected PnL components</w:t>
      </w:r>
      <w:r>
        <w:br/>
      </w:r>
      <w:r>
        <w:t>Actual PnL components</w:t>
      </w:r>
      <w:r>
        <w:br/>
      </w:r>
      <w:r>
        <w:t>Difference</w:t>
      </w:r>
      <w:r>
        <w:br/>
      </w:r>
      <w:r>
        <w:t>Explanation if FAIL</w:t>
      </w:r>
    </w:p>
    <w:p>
      <w:pPr>
        <w:pStyle w:val="Heading1"/>
      </w:pPr>
      <w:r>
        <w:t>17. Global invariants</w:t>
      </w:r>
    </w:p>
    <w:p>
      <w:pPr>
        <w:spacing w:after="40"/>
      </w:pPr>
      <w:r>
        <w:rPr>
          <w:b/>
        </w:rPr>
        <w:t xml:space="preserve">1. </w:t>
      </w:r>
      <w:r>
        <w:t>No duplicate normalized keys.</w:t>
      </w:r>
    </w:p>
    <w:p>
      <w:pPr>
        <w:spacing w:after="40"/>
      </w:pPr>
      <w:r>
        <w:rPr>
          <w:b/>
        </w:rPr>
        <w:t xml:space="preserve">2. </w:t>
      </w:r>
      <w:r>
        <w:t>Fixings + open exposure reconcile to the effective position.</w:t>
      </w:r>
    </w:p>
    <w:p>
      <w:pPr>
        <w:spacing w:after="40"/>
      </w:pPr>
      <w:r>
        <w:rPr>
          <w:b/>
        </w:rPr>
        <w:t xml:space="preserve">3. </w:t>
      </w:r>
      <w:r>
        <w:t>Fixings and Exposure use identical fixing eligibility.</w:t>
      </w:r>
    </w:p>
    <w:p>
      <w:pPr>
        <w:spacing w:after="40"/>
      </w:pPr>
      <w:r>
        <w:rPr>
          <w:b/>
        </w:rPr>
        <w:t xml:space="preserve">4. </w:t>
      </w:r>
      <w:r>
        <w:t>A closed position generates exactly one explicit zero row.</w:t>
      </w:r>
    </w:p>
    <w:p>
      <w:pPr>
        <w:spacing w:after="40"/>
      </w:pPr>
      <w:r>
        <w:rPr>
          <w:b/>
        </w:rPr>
        <w:t xml:space="preserve">5. </w:t>
      </w:r>
      <w:r>
        <w:t>No event is lost because its date is absent from the Market Date axis.</w:t>
      </w:r>
    </w:p>
    <w:p>
      <w:pPr>
        <w:spacing w:after="40"/>
      </w:pPr>
      <w:r>
        <w:rPr>
          <w:b/>
        </w:rPr>
        <w:t xml:space="preserve">6. </w:t>
      </w:r>
      <w:r>
        <w:t>No deferred event is applied twice.</w:t>
      </w:r>
    </w:p>
    <w:p>
      <w:pPr>
        <w:spacing w:after="40"/>
      </w:pPr>
      <w:r>
        <w:rPr>
          <w:b/>
        </w:rPr>
        <w:t xml:space="preserve">7. </w:t>
      </w:r>
      <w:r>
        <w:t>Total PnL equals the sum of its components.</w:t>
      </w:r>
    </w:p>
    <w:p>
      <w:pPr>
        <w:spacing w:after="40"/>
      </w:pPr>
      <w:r>
        <w:rPr>
          <w:b/>
        </w:rPr>
        <w:t xml:space="preserve">8. </w:t>
      </w:r>
      <w:r>
        <w:t>For a simple fully fixed trade with no operating costs, cumulative PnL reconciles to signed quantity × (fixing price − execution price).</w:t>
      </w:r>
    </w:p>
    <w:p>
      <w:pPr>
        <w:spacing w:after="40"/>
      </w:pPr>
      <w:r>
        <w:rPr>
          <w:b/>
        </w:rPr>
        <w:t xml:space="preserve">9. </w:t>
      </w:r>
      <w:r>
        <w:t>A required missing price blocks the build.</w:t>
      </w:r>
    </w:p>
    <w:p>
      <w:pPr>
        <w:spacing w:after="40"/>
      </w:pPr>
      <w:r>
        <w:rPr>
          <w:b/>
        </w:rPr>
        <w:t xml:space="preserve">10. </w:t>
      </w:r>
      <w:r>
        <w:t>Legacy output is never used as the expected golden result.</w:t>
      </w:r>
    </w:p>
    <w:p>
      <w:pPr>
        <w:pStyle w:val="Heading1"/>
      </w:pPr>
      <w:r>
        <w:t>18. Recommended execution order</w:t>
      </w:r>
    </w:p>
    <w:p>
      <w:pPr>
        <w:pStyle w:val="ListBullet"/>
        <w:spacing w:after="30"/>
      </w:pPr>
      <w:r>
        <w:t>First: TEST 1, TEST 2 and TEST 5 to validate sign and trade-entry/same-day mechanics.</w:t>
      </w:r>
    </w:p>
    <w:p>
      <w:pPr>
        <w:pStyle w:val="ListBullet"/>
        <w:spacing w:after="30"/>
      </w:pPr>
      <w:r>
        <w:t>Second: TEST 4 to settle Fixing Amount sign convention.</w:t>
      </w:r>
    </w:p>
    <w:p>
      <w:pPr>
        <w:pStyle w:val="ListBullet"/>
        <w:spacing w:after="30"/>
      </w:pPr>
      <w:r>
        <w:t>Third: TEST 7 and TEST 8 to validate event timing and closure behavior.</w:t>
      </w:r>
    </w:p>
    <w:p>
      <w:pPr>
        <w:pStyle w:val="ListBullet"/>
        <w:spacing w:after="30"/>
      </w:pPr>
      <w:r>
        <w:t>Fourth: TEST 12 as the main end-to-end golden integration test.</w:t>
      </w:r>
    </w:p>
    <w:p>
      <w:pPr>
        <w:pStyle w:val="ListBullet"/>
        <w:spacing w:after="30"/>
      </w:pPr>
      <w:r>
        <w:t>Finally: run the real-workbook diagnostic regressions.</w:t>
      </w:r>
    </w:p>
    <w:p>
      <w:r>
        <w:t>TEST 12 is the most important integration assertion: the independent cumulative economic result must be EUR 500. If it does not close, the failure should be traced to Fixings, Exposure, trade-entry adjustment or PnL aggregation.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GTM v2 Golden Regression Test Pack | 7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