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7F0000" w:val="clear"/>
        <w:spacing w:after="0" w:before="200"/>
        <w:ind w:left="200" w:right="200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🧪  Actividad 4.1</w:t>
      </w:r>
    </w:p>
    <w:p>
      <w:pPr>
        <w:shd w:fill="C62828" w:val="clear"/>
        <w:spacing w:after="0" w:before="0"/>
        <w:ind w:left="200" w:right="200"/>
      </w:pPr>
      <w:r>
        <w:rPr>
          <w:rFonts w:ascii="Arial" w:cs="Arial" w:eastAsia="Arial" w:hAnsi="Arial"/>
          <w:i/>
          <w:iCs/>
          <w:color w:val="FFFFFF"/>
          <w:sz w:val="28"/>
          <w:szCs w:val="28"/>
        </w:rPr>
        <w:t xml:space="preserve">CatalogoConsultaService — un componente reutilizable</w:t>
      </w:r>
    </w:p>
    <w:p>
      <w:pPr>
        <w:shd w:fill="E64A19" w:val="clear"/>
        <w:spacing w:after="200" w:before="0"/>
        <w:ind w:left="200" w:right="20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Acceso a Datos — Tema 4 — Programación de componentes de acceso a datos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4A1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📋 Datos del alumno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Nombre y apellidos: _____________________________________________________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Curso / Grupo: ___________________________   Fecha: 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Repositorio Git de tu proyecto (URL): ___________________________________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4A1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Objetivo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Construir tu primer componente con contrato explícito (CatalogoConsultaService/Impl), resolviendo el acoplamiento reviews→VideojuegoRepository que arrastras desde la Actividad 3.1, y extenderlo con un método nuevo siguiendo su propio patrón.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4A1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Entregable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Este documento relleno: la captura del Paso 1, las respuestas del Paso 2 y el Paso 3, la captura del Paso 5, y la pregunta final.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C62828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Paso 1 — Construye el componente</w:t>
      </w:r>
    </w:p>
    <w:p>
      <w:pPr>
        <w:spacing w:after="8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Captura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La respuesta 201, confirmando que el componente nuevo funciona igual que el VideojuegoRepository directo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C62828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Paso 2 — Preguntas de comprensión</w:t>
      </w:r>
    </w:p>
    <w:p>
      <w:pPr>
        <w:spacing w:after="8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1. ¿Por qué la interfaz vive en catalogo.api y la implementación no?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2. ¿Por qué CatalogoConsultaServiceImpl no lleva public? ¿Qué cambiaría si lo añadieras?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3. ¿Qué tipo declaras al inyectar esta dependencia en ReviewService?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C62828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Paso 3 — El desacoplamiento, con un caso concreto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C62828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Paso 5 — Prueba del componente aislado</w:t>
      </w:r>
    </w:p>
    <w:p>
      <w:pPr>
        <w:spacing w:after="8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Captura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Los tres tests en verde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C62828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Pregunta final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spacing w:before="120"/>
    </w:pPr>
    <w:r>
      <w:rPr>
        <w:rFonts w:ascii="Arial" w:cs="Arial" w:eastAsia="Arial" w:hAnsi="Arial"/>
        <w:color w:val="757575"/>
        <w:sz w:val="18"/>
        <w:szCs w:val="18"/>
      </w:rPr>
      <w:t xml:space="preserve">Nombre: _______________________________________   Fecha: _______________   Página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57575"/>
        <w:sz w:val="18"/>
        <w:szCs w:val="18"/>
      </w:rPr>
      <w:t xml:space="preserve"> de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838"/>
      <w:gridCol w:w="2800"/>
    </w:tblGrid>
    <w:tr>
      <w:tc>
        <w:tcPr>
          <w:tcW w:type="dxa" w:w="683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7F0000" w:val="clear"/>
          <w:tcMar>
            <w:top w:type="dxa" w:w="100"/>
            <w:left w:type="dxa" w:w="200"/>
            <w:bottom w:type="dxa" w:w="100"/>
            <w:right w:type="dxa" w:w="10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Acceso a Datos — Tema 4 — Programación de componentes de acceso a datos</w:t>
          </w:r>
        </w:p>
      </w:tc>
      <w:tc>
        <w:tcPr>
          <w:tcW w:type="dxa" w:w="2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E64A19" w:val="clear"/>
          <w:tcMar>
            <w:top w:type="dxa" w:w="100"/>
            <w:left w:type="dxa" w:w="100"/>
            <w:bottom w:type="dxa" w:w="100"/>
            <w:right w:type="dxa" w:w="200"/>
          </w:tcMar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Actividad 4.1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2026-07-30T04:57:06.673Z</dcterms:created>
  <dcterms:modified xsi:type="dcterms:W3CDTF">2026-07-30T04:57:06.675Z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