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7F0000" w:val="clear"/>
        <w:spacing w:after="0" w:before="200"/>
        <w:ind w:left="200" w:right="200"/>
      </w:pPr>
      <w:r>
        <w:rPr>
          <w:rFonts w:ascii="Arial" w:cs="Arial" w:eastAsia="Arial" w:hAnsi="Arial"/>
          <w:b/>
          <w:bCs/>
          <w:color w:val="FFFFFF"/>
          <w:sz w:val="52"/>
          <w:szCs w:val="52"/>
        </w:rPr>
        <w:t xml:space="preserve">🧪  Actividad 4.2</w:t>
      </w:r>
    </w:p>
    <w:p>
      <w:pPr>
        <w:shd w:fill="C62828" w:val="clear"/>
        <w:spacing w:after="0" w:before="0"/>
        <w:ind w:left="200" w:right="200"/>
      </w:pPr>
      <w:r>
        <w:rPr>
          <w:rFonts w:ascii="Arial" w:cs="Arial" w:eastAsia="Arial" w:hAnsi="Arial"/>
          <w:i/>
          <w:iCs/>
          <w:color w:val="FFFFFF"/>
          <w:sz w:val="28"/>
          <w:szCs w:val="28"/>
        </w:rPr>
        <w:t xml:space="preserve">Mismo patrón, otro motor: un componente sobre el módulo documental</w:t>
      </w:r>
    </w:p>
    <w:p>
      <w:pPr>
        <w:shd w:fill="E64A19" w:val="clear"/>
        <w:spacing w:after="200" w:before="0"/>
        <w:ind w:left="200" w:right="200"/>
      </w:pPr>
      <w:r>
        <w:rPr>
          <w:rFonts w:ascii="Arial" w:cs="Arial" w:eastAsia="Arial" w:hAnsi="Arial"/>
          <w:color w:val="FFFFFF"/>
          <w:sz w:val="22"/>
          <w:szCs w:val="22"/>
        </w:rPr>
        <w:t xml:space="preserve">Acceso a Datos — Tema 4 — Programación de componentes de acceso a datos</w:t>
      </w:r>
    </w:p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4A1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📋 Datos del alumno</w:t>
            </w:r>
          </w:p>
        </w:tc>
        <w:tc>
          <w:tcPr>
            <w:tcW w:type="dxa" w:w="79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BE9E7" w:val="clear"/>
            <w:tcMar>
              <w:top w:type="dxa" w:w="80"/>
              <w:left w:type="dxa" w:w="20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Nombre y apellidos: _____________________________________________________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Curso / Grupo: ___________________________   Fecha: ____________________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Repositorio Git de tu proyecto (URL): ___________________________________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4A1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🎯 Objetivo</w:t>
            </w:r>
          </w:p>
        </w:tc>
        <w:tc>
          <w:tcPr>
            <w:tcW w:type="dxa" w:w="79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BE9E7" w:val="clear"/>
            <w:tcMar>
              <w:top w:type="dxa" w:w="80"/>
              <w:left w:type="dxa" w:w="20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Replicar sobre MongoDB el mismo patrón de componente (interfaz + implementación oculta) que ya construiste sobre PostgreSQL en la Actividad 4.1, consumirlo desde catalogo, y comparar ambos componentes.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4A1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✅ Entregable</w:t>
            </w:r>
          </w:p>
        </w:tc>
        <w:tc>
          <w:tcPr>
            <w:tcW w:type="dxa" w:w="79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BE9E7" w:val="clear"/>
            <w:tcMar>
              <w:top w:type="dxa" w:w="80"/>
              <w:left w:type="dxa" w:w="20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Este documento relleno: las dos capturas del Paso 4, la captura del Paso 5, la tabla comparativa y las dos preguntas de la reflexión de cierre.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shd w:fill="C62828" w:val="clear"/>
        <w:spacing w:after="0" w:before="320"/>
        <w:ind w:left="200" w:right="200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Paso 4 — Verificación</w:t>
      </w:r>
    </w:p>
    <w:p>
      <w:pPr>
        <w:spacing w:after="80"/>
      </w:pPr>
    </w:p>
    <w:p>
      <w:pPr>
        <w:pBdr>
          <w:bottom w:val="single" w:color="E64A19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C62828"/>
          <w:sz w:val="24"/>
          <w:szCs w:val="24"/>
        </w:rPr>
        <w:t xml:space="preserve">Captura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6282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La respuesta de GET /videojuegos/{id} (un id con reseñas de verdad) con totalReviews y puntuacionMedia, junto a la de GET /reviews/resumen mostrando los mismos valores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pBdr>
          <w:bottom w:val="single" w:color="E64A19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C62828"/>
          <w:sz w:val="24"/>
          <w:szCs w:val="24"/>
        </w:rPr>
        <w:t xml:space="preserve">Captura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6282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Tu batería de tests completa en verde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shd w:fill="C62828" w:val="clear"/>
        <w:spacing w:after="0" w:before="320"/>
        <w:ind w:left="200" w:right="200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Paso 5 — Prueba del componente aislado</w:t>
      </w:r>
    </w:p>
    <w:p>
      <w:pPr>
        <w:spacing w:after="80"/>
      </w:pPr>
    </w:p>
    <w:p>
      <w:pPr>
        <w:pBdr>
          <w:bottom w:val="single" w:color="E64A19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C62828"/>
          <w:sz w:val="24"/>
          <w:szCs w:val="24"/>
        </w:rPr>
        <w:t xml:space="preserve">Captura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6282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Tus tests de ReviewsConsultaServiceImplTest en verde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shd w:fill="C62828" w:val="clear"/>
        <w:spacing w:after="0" w:before="320"/>
        <w:ind w:left="200" w:right="200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Reflexión de cierre — tabla comparativa</w:t>
      </w:r>
    </w:p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726"/>
        <w:gridCol w:w="726"/>
      </w:tblGrid>
      <w:tr>
        <w:tc>
          <w:tcPr>
            <w:tcW w:type="dxa" w:w="74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C62828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72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C62828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CatalogoConsultaService (PostgreSQL/JPA)</w:t>
            </w:r>
          </w:p>
        </w:tc>
        <w:tc>
          <w:tcPr>
            <w:tcW w:type="dxa" w:w="72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C62828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ReviewsConsultaService (MongoDB)</w:t>
            </w:r>
          </w:p>
        </w:tc>
      </w:tr>
      <w:tr>
        <w:trPr>
          <w:trHeight w:val="800"/>
        </w:trPr>
        <w:tc>
          <w:tcPr>
            <w:tcW w:type="dxa" w:w="74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72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72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800"/>
        </w:trPr>
        <w:tc>
          <w:tcPr>
            <w:tcW w:type="dxa" w:w="74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72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72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800"/>
        </w:trPr>
        <w:tc>
          <w:tcPr>
            <w:tcW w:type="dxa" w:w="74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72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72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800"/>
        </w:trPr>
        <w:tc>
          <w:tcPr>
            <w:tcW w:type="dxa" w:w="74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72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72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160"/>
      </w:pPr>
    </w:p>
    <w:p>
      <w:pPr>
        <w:pBdr>
          <w:bottom w:val="single" w:color="E64A19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C62828"/>
          <w:sz w:val="24"/>
          <w:szCs w:val="24"/>
        </w:rPr>
        <w:t xml:space="preserve">Conclusión (2-3 frases propias)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pBdr>
          <w:bottom w:val="single" w:color="E64A19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C62828"/>
          <w:sz w:val="24"/>
          <w:szCs w:val="24"/>
        </w:rPr>
        <w:t xml:space="preserve">Una pregunta más: reviews importa catalogo.api y catalogo importa reviews.api — ¿qué se ha desacoplado realmente y qué dependencia sigue existiendo? ¿Por qué funciona así ahora, pero podría convertirse en un problema si catalogo y reviews se separasen algún día en módulos Maven independientes?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0E0E0" w:sz="4" w:space="1"/>
      </w:pBdr>
      <w:spacing w:before="120"/>
    </w:pPr>
    <w:r>
      <w:rPr>
        <w:rFonts w:ascii="Arial" w:cs="Arial" w:eastAsia="Arial" w:hAnsi="Arial"/>
        <w:color w:val="757575"/>
        <w:sz w:val="18"/>
        <w:szCs w:val="18"/>
      </w:rPr>
      <w:t xml:space="preserve">Nombre: _______________________________________   Fecha: _______________   Página </w:t>
    </w:r>
    <w:r>
      <w:rPr>
        <w:rFonts w:ascii="Arial" w:cs="Arial" w:eastAsia="Arial" w:hAnsi="Arial"/>
        <w:color w:val="757575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757575"/>
        <w:sz w:val="18"/>
        <w:szCs w:val="18"/>
      </w:rPr>
      <w:t xml:space="preserve"> de </w:t>
    </w:r>
    <w:r>
      <w:rPr>
        <w:rFonts w:ascii="Arial" w:cs="Arial" w:eastAsia="Arial" w:hAnsi="Arial"/>
        <w:color w:val="757575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6838"/>
      <w:gridCol w:w="2800"/>
    </w:tblGrid>
    <w:tr>
      <w:tc>
        <w:tcPr>
          <w:tcW w:type="dxa" w:w="68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shd w:fill="7F0000" w:val="clear"/>
          <w:tcMar>
            <w:top w:type="dxa" w:w="100"/>
            <w:left w:type="dxa" w:w="200"/>
            <w:bottom w:type="dxa" w:w="100"/>
            <w:right w:type="dxa" w:w="100"/>
          </w:tcMar>
        </w:tcPr>
        <w:p>
          <w:r>
            <w:rPr>
              <w:rFonts w:ascii="Arial" w:cs="Arial" w:eastAsia="Arial" w:hAnsi="Arial"/>
              <w:b/>
              <w:bCs/>
              <w:color w:val="FFFFFF"/>
              <w:sz w:val="20"/>
              <w:szCs w:val="20"/>
            </w:rPr>
            <w:t xml:space="preserve">Acceso a Datos — Tema 4 — Programación de componentes de acceso a datos</w:t>
          </w:r>
        </w:p>
      </w:tc>
      <w:tc>
        <w:tcPr>
          <w:tcW w:type="dxa" w:w="28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shd w:fill="E64A19" w:val="clear"/>
          <w:tcMar>
            <w:top w:type="dxa" w:w="100"/>
            <w:left w:type="dxa" w:w="100"/>
            <w:bottom w:type="dxa" w:w="100"/>
            <w:right w:type="dxa" w:w="200"/>
          </w:tcMar>
        </w:tcPr>
        <w:p>
          <w:pPr>
            <w:jc w:val="right"/>
          </w:pPr>
          <w:r>
            <w:rPr>
              <w:rFonts w:ascii="Arial" w:cs="Arial" w:eastAsia="Arial" w:hAnsi="Arial"/>
              <w:b/>
              <w:bCs/>
              <w:color w:val="FFFFFF"/>
              <w:sz w:val="20"/>
              <w:szCs w:val="20"/>
            </w:rPr>
            <w:t xml:space="preserve">Actividad 4.2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12121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2026-08-10T16:35:28.637Z</dcterms:created>
  <dcterms:modified xsi:type="dcterms:W3CDTF">2026-08-10T16:35:28.640Z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