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200"/>
        <w:ind w:left="200" w:right="200"/>
      </w:pPr>
      <w:r>
        <w:rPr>
          <w:rFonts w:ascii="Arial" w:cs="Arial" w:eastAsia="Arial" w:hAnsi="Arial"/>
          <w:b/>
          <w:bCs/>
          <w:color w:val="FFFFFF"/>
          <w:sz w:val="52"/>
          <w:szCs w:val="52"/>
        </w:rPr>
        <w:t xml:space="preserve">🧪  Actividad 1.1</w:t>
      </w:r>
    </w:p>
    <w:p>
      <w:pPr>
        <w:shd w:fill="3949AB" w:val="clear"/>
        <w:spacing w:after="0" w:before="0"/>
        <w:ind w:left="200" w:right="200"/>
      </w:pPr>
      <w:r>
        <w:rPr>
          <w:rFonts w:ascii="Arial" w:cs="Arial" w:eastAsia="Arial" w:hAnsi="Arial"/>
          <w:i/>
          <w:iCs/>
          <w:color w:val="FFFFFF"/>
          <w:sz w:val="28"/>
          <w:szCs w:val="28"/>
        </w:rPr>
        <w:t xml:space="preserve">Tu primer despliegue en la nube</w:t>
      </w:r>
    </w:p>
    <w:p>
      <w:pPr>
        <w:shd w:fill="FFA000" w:val="clear"/>
        <w:spacing w:after="200" w:before="0"/>
        <w:ind w:left="200" w:right="200"/>
      </w:pPr>
      <w:r>
        <w:rPr>
          <w:rFonts w:ascii="Arial" w:cs="Arial" w:eastAsia="Arial" w:hAnsi="Arial"/>
          <w:color w:val="FFFFFF"/>
          <w:sz w:val="22"/>
          <w:szCs w:val="22"/>
        </w:rPr>
        <w:t xml:space="preserve">Introducción a la Nube Pública — Tema 1 — Introducción a la nube pública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Fecha: ____________________________________________________________________</w:t>
            </w:r>
          </w:p>
          <w:p>
            <w:pPr>
              <w:spacing w:after="60"/>
            </w:pPr>
            <w:r>
              <w:rPr>
                <w:rFonts w:ascii="Arial" w:cs="Arial" w:eastAsia="Arial" w:hAnsi="Arial"/>
                <w:color w:val="263238"/>
                <w:sz w:val="20"/>
                <w:szCs w:val="20"/>
              </w:rPr>
              <w:t xml:space="preserve">Identificador de recursos usado (ej. el-manillar-front-&lt;tu-identificador&gt;): _______________________</w:t>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A — Publicar el front de El Manillar</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Paso 1 — Entra en tu Learner Lab por primera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La página de inicio de tu propia Consola de AWS, con tu usuario (voclabs/user...) visible arriba a la derecha</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2 — Comprueba tu identidad y compara consola y CLI</w:t>
      </w:r>
    </w:p>
    <w:p>
      <w:pPr>
        <w:spacing w:after="100"/>
      </w:pPr>
      <w:r>
        <w:rPr>
          <w:rFonts w:ascii="Arial" w:cs="Arial" w:eastAsia="Arial" w:hAnsi="Arial"/>
          <w:color w:val="212121"/>
          <w:sz w:val="22"/>
          <w:szCs w:val="22"/>
        </w:rPr>
        <w:t xml:space="preserve">Anota el Account y el Arn que te devuelve aws sts get-caller-identity: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Tu propio menú de identidad en la consola, con tu número de cuenta visible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 aws sts get-caller-identity en tu terminal</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p>
      <w:pPr>
        <w:spacing w:after="100" w:before="120"/>
      </w:pPr>
      <w:r>
        <w:rPr>
          <w:rFonts w:ascii="Arial" w:cs="Arial" w:eastAsia="Arial" w:hAnsi="Arial"/>
          <w:color w:val="212121"/>
          <w:sz w:val="22"/>
          <w:szCs w:val="22"/>
        </w:rPr>
        <w:t xml:space="preserve">Repite la comprobación con aws s3 ls: ¿el listado de buckets coincide entre CLI y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 aws s3 ls en tu terminal, y el listado de buckets en la consola de S3</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3 — Crea y configura el bucket desde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Pantalla de creación con el bloqueo desmarcado, con el nombre de tu bucket visible en el campo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Alojamiento estático activado, con el nombre de tu bucket visible en la ruta de navegación superior</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Política de bucket, con el Resource mostrando el ARN de tu propio bucket</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p>
      <w:pPr>
        <w:spacing w:after="100"/>
      </w:pPr>
      <w:r>
        <w:rPr>
          <w:rFonts w:ascii="Arial" w:cs="Arial" w:eastAsia="Arial" w:hAnsi="Arial"/>
          <w:color w:val="212121"/>
          <w:sz w:val="22"/>
          <w:szCs w:val="22"/>
        </w:rPr>
        <w:t xml:space="preserve">Documenta tu elección: qué nombre e identificador de bucket has elegido y por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4 — Sube el contenido por CLI y verifica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front de El Manillar cargando, sin recortar la barra de direcciones (se ve el nombre de tu bucket en la URL)</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 aws s3 cp con la ruta s3://&lt;tu-bucket&gt;/ completa</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pBdr>
          <w:bottom w:val="single" w:color="FFA000" w:sz="4" w:space="1"/>
        </w:pBdr>
        <w:spacing w:after="120" w:before="240"/>
      </w:pPr>
      <w:r>
        <w:rPr>
          <w:rFonts w:ascii="Arial" w:cs="Arial" w:eastAsia="Arial" w:hAnsi="Arial"/>
          <w:b/>
          <w:bCs/>
          <w:color w:val="3949AB"/>
          <w:sz w:val="24"/>
          <w:szCs w:val="24"/>
        </w:rPr>
        <w:t xml:space="preserve">Paso 5 — Localiza dónde se controla el gasto de tu laboratorio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Tu presupuesto o el panel de crédito, con tu número de cuenta o el nombre de tu laboratorio visible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p>
      <w:pPr>
        <w:spacing w:after="100"/>
      </w:pPr>
      <w:r>
        <w:rPr>
          <w:rFonts w:ascii="Arial" w:cs="Arial" w:eastAsia="Arial" w:hAnsi="Arial"/>
          <w:color w:val="212121"/>
          <w:sz w:val="22"/>
          <w:szCs w:val="22"/>
        </w:rPr>
        <w:t xml:space="preserve">Anota dónde vas a consultar el gasto real de tu laboratorio al terminar cada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Reflexiona</w:t>
      </w:r>
    </w:p>
    <w:p>
      <w:pPr>
        <w:spacing w:after="100"/>
      </w:pPr>
      <w:r>
        <w:rPr>
          <w:rFonts w:ascii="Arial" w:cs="Arial" w:eastAsia="Arial" w:hAnsi="Arial"/>
          <w:color w:val="212121"/>
          <w:sz w:val="22"/>
          <w:szCs w:val="22"/>
        </w:rPr>
        <w:t xml:space="preserve">Acabas de publicar un bucket accesible por cualquiera en internet. Si mañana a las tres de la madrugada ese bucket deja de responder, ¿de quién es la responsabilidad — de AWS o tuya? ¿Y si lo que falla es que alguien más ha podido borrar tus ficheros porque la política de acceso era más permisiva de lo necesario? Responde señalando, para cada caso, qué parte exacta de lo que has hecho hoy correspondería a cada lado del reparto.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B — Pon a prueba tu despliegue</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Rompe tu propio despliegue, y repáralo</w:t>
      </w:r>
    </w:p>
    <w:p>
      <w:pPr>
        <w:spacing w:after="100"/>
      </w:pPr>
      <w:r>
        <w:rPr>
          <w:rFonts w:ascii="Arial" w:cs="Arial" w:eastAsia="Arial" w:hAnsi="Arial"/>
          <w:color w:val="212121"/>
          <w:sz w:val="22"/>
          <w:szCs w:val="22"/>
        </w:rPr>
        <w:t xml:space="preserve">Anota el error exacto que ves al volver a activar el bloqueo de acceso público (código y mensaje):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error real al bloquear el acceso público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sitio funcionando de nuevo, tras reparar el bucket</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Calcula cuánto cuesta mantenerlo un año entero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Desglose de coste mensual y anual de la calculadora (almacenamiento y transferencia por separado)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Predicción: nombre de bucket duplicado</w:t>
      </w:r>
    </w:p>
    <w:p>
      <w:pPr>
        <w:spacing w:after="100"/>
      </w:pPr>
      <w:r>
        <w:rPr>
          <w:rFonts w:ascii="Arial" w:cs="Arial" w:eastAsia="Arial" w:hAnsi="Arial"/>
          <w:color w:val="212121"/>
          <w:sz w:val="22"/>
          <w:szCs w:val="22"/>
        </w:rPr>
        <w:t xml:space="preserve">Antes de probarlo: si un compañero de otro equipo intentase crear un bucket con exactamente el mismo nombre que el tuyo, ¿qué crees que pasaría? Escribe tu predicción y, después, lo que ha ocurrido de verdad al comprobarlo tú mismo.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Reparto de responsabilidades: los seis incidentes</w:t>
      </w:r>
    </w:p>
    <w:p>
      <w:pPr>
        <w:spacing w:after="100"/>
      </w:pPr>
      <w:r>
        <w:rPr>
          <w:rFonts w:ascii="Arial" w:cs="Arial" w:eastAsia="Arial" w:hAnsi="Arial"/>
          <w:color w:val="212121"/>
          <w:sz w:val="22"/>
          <w:szCs w:val="22"/>
        </w:rPr>
        <w:t xml:space="preserve">Para cada incidente del apunte, indica de quién es la responsabilidad (AWS o tuya) y justifícalo en una frase.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4819"/>
      </w:tblGrid>
      <w:tr>
        <w:tc>
          <w:tcPr>
            <w:tcW w:type="dxa" w:w="2699"/>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Incidente</w:t>
            </w:r>
          </w:p>
        </w:tc>
        <w:tc>
          <w:tcPr>
            <w:tcW w:type="dxa" w:w="2120"/>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Responsable (AWS / Tú)</w:t>
            </w:r>
          </w:p>
        </w:tc>
        <w:tc>
          <w:tcPr>
            <w:tcW w:type="dxa" w:w="4819"/>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Justificación</w:t>
            </w:r>
          </w:p>
        </w:tc>
      </w:tr>
      <w:tr>
        <w:trPr>
          <w:trHeight w:val="800"/>
        </w:trPr>
        <w:tc>
          <w:tcPr>
            <w:tcW w:type="dxa" w:w="269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A237E" w:val="clear"/>
          <w:tcMar>
            <w:top w:type="dxa" w:w="100"/>
            <w:left w:type="dxa" w:w="200"/>
            <w:bottom w:type="dxa" w:w="100"/>
            <w:right w:type="dxa" w:w="100"/>
          </w:tcMar>
        </w:tcPr>
        <w:p>
          <w:r>
            <w:rPr>
              <w:rFonts w:ascii="Arial" w:cs="Arial" w:eastAsia="Arial" w:hAnsi="Arial"/>
              <w:b/>
              <w:bCs/>
              <w:color w:val="FFFFFF"/>
              <w:sz w:val="20"/>
              <w:szCs w:val="20"/>
            </w:rPr>
            <w:t xml:space="preserve">Introducción a la Nube Pública — Tema 1 — Introducción a la nube pública</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1.1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2026-08-16T17:59:52.802Z</dcterms:created>
  <dcterms:modified xsi:type="dcterms:W3CDTF">2026-08-16T17:59:52.804Z</dcterms:modified>
</cp:coreProperties>
</file>

<file path=docProps/custom.xml><?xml version="1.0" encoding="utf-8"?>
<Properties xmlns="http://schemas.openxmlformats.org/officeDocument/2006/custom-properties" xmlns:vt="http://schemas.openxmlformats.org/officeDocument/2006/docPropsVTypes"/>
</file>