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2.1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Tu propia VPC en dos zonas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2 — Redes virtuales y servicios de cómputo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escaparate-vpc-&lt;tu-identificador&gt;): 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Diseñar y construir la VPC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Diseña el reparto en papel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Tabla de diseño para el rango 10.0.0.0/16: nombre de subred, CIDR, zona de disponibilidad y tipo (pública/privada). Mínimo cuatro subredes.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120"/>
        <w:gridCol w:w="2506"/>
        <w:gridCol w:w="2120"/>
      </w:tblGrid>
      <w:tr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Nombre de subred</w:t>
            </w:r>
          </w:p>
        </w:tc>
        <w:tc>
          <w:tcPr>
            <w:tcW w:type="dxa" w:w="212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CIDR</w:t>
            </w:r>
          </w:p>
        </w:tc>
        <w:tc>
          <w:tcPr>
            <w:tcW w:type="dxa" w:w="25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Zona de disponibilidad</w:t>
            </w:r>
          </w:p>
        </w:tc>
        <w:tc>
          <w:tcPr>
            <w:tcW w:type="dxa" w:w="212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</w:tr>
      <w:tr>
        <w:trPr>
          <w:trHeight w:val="800"/>
        </w:trPr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5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5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5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5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Crea la VPC y las subredes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VPC creada con el rango 10.0.0.0/16 (actividad_2_1_paso2_a.png)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Las cuatro subredes creadas, con su CIDR y zona visibles (actividad_2_1_paso2_b.png)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3 — Convierte en públicas solo las subredes que deben serlo, por CLI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Tabla de rutas pública (con ruta a la pasarela) junto a la privada, sin ella (actividad_2_1_paso3.png)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Imagina que lanzas una instancia en una de tus subredes privadas y compruebas que no sale a internet. Antes de tocar nada más: ¿falta una ruta en la tabla de rutas, falta una regla de un grupo de seguridad, o falta la pasarela en sí? Nómbralo con precisión.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demuestra que tu red hace lo que dices que hace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Predicción: fallo de salida a internet en la subred privada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Antes de comprobar que la subred privada no sale a internet, predice por escrito qué mensaje de error o comportamiento exacto esperas ver.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Evidencia de los tres comportamientos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Demuestra: que la subred pública tiene salida a internet, que la privada no la tiene, y que ambas pueden hablar entre sí dentro de la VPC.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Evidencia de los tres comportamientos demostrados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Diagrama de red y justificación del reparto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Diagrama completo (las cuatro subredes, la pasarela, lo usado para probar conectividad) y justificación por escrito del reparto de rangos del Paso 1: por qué ese tamaño de subred y no otro, por qué esa distribución entre las dos zonas.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Diagrama de red final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2 — Redes virtuales y servicios de cómputo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2.1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2026-08-14T12:39:28.158Z</dcterms:created>
  <dcterms:modified xsi:type="dcterms:W3CDTF">2026-08-14T12:39:28.158Z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