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37E" w:val="clear"/>
        <w:spacing w:after="0" w:before="200"/>
        <w:ind w:left="200" w:right="200"/>
      </w:pPr>
      <w:r>
        <w:rPr>
          <w:rFonts w:ascii="Arial" w:cs="Arial" w:eastAsia="Arial" w:hAnsi="Arial"/>
          <w:b/>
          <w:bCs/>
          <w:color w:val="FFFFFF"/>
          <w:sz w:val="52"/>
          <w:szCs w:val="52"/>
        </w:rPr>
        <w:t xml:space="preserve">🧪  Actividad 3.2</w:t>
      </w:r>
    </w:p>
    <w:p>
      <w:pPr>
        <w:shd w:fill="3949AB" w:val="clear"/>
        <w:spacing w:after="0" w:before="0"/>
        <w:ind w:left="200" w:right="200"/>
      </w:pPr>
      <w:r>
        <w:rPr>
          <w:rFonts w:ascii="Arial" w:cs="Arial" w:eastAsia="Arial" w:hAnsi="Arial"/>
          <w:i/>
          <w:iCs/>
          <w:color w:val="FFFFFF"/>
          <w:sz w:val="28"/>
          <w:szCs w:val="28"/>
        </w:rPr>
        <w:t xml:space="preserve">Migración a base de datos gestionada con RDS</w:t>
      </w:r>
    </w:p>
    <w:p>
      <w:pPr>
        <w:shd w:fill="FFA000" w:val="clear"/>
        <w:spacing w:after="200" w:before="0"/>
        <w:ind w:left="200" w:right="200"/>
      </w:pPr>
      <w:r>
        <w:rPr>
          <w:rFonts w:ascii="Arial" w:cs="Arial" w:eastAsia="Arial" w:hAnsi="Arial"/>
          <w:color w:val="FFFFFF"/>
          <w:sz w:val="22"/>
          <w:szCs w:val="22"/>
        </w:rPr>
        <w:t xml:space="preserve">Introducción a la Nube Pública — Tema 3 — Almacenamiento, datos y primera arquitectura</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c>
          <w:tcPr>
            <w:tcW w:type="dxa" w:w="1700"/>
            <w:tcBorders>
              <w:top w:val="none" w:color="FFFFFF" w:sz="0"/>
              <w:left w:val="none" w:color="FFFFFF" w:sz="0"/>
              <w:bottom w:val="none" w:color="FFFFFF" w:sz="0"/>
              <w:right w:val="none" w:color="FFFFFF" w:sz="0"/>
            </w:tcBorders>
            <w:shd w:fill="FFA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Datos del alumno</w:t>
            </w:r>
          </w:p>
        </w:tc>
        <w:tc>
          <w:tcPr>
            <w:tcW w:type="dxa" w:w="7938"/>
            <w:tcBorders>
              <w:top w:val="none" w:color="FFFFFF" w:sz="0"/>
              <w:left w:val="none" w:color="FFFFFF" w:sz="0"/>
              <w:bottom w:val="none" w:color="FFFFFF" w:sz="0"/>
              <w:right w:val="none" w:color="FFFFFF" w:sz="0"/>
            </w:tcBorders>
            <w:shd w:fill="FFF8E1" w:val="clear"/>
            <w:tcMar>
              <w:top w:type="dxa" w:w="80"/>
              <w:left w:type="dxa" w:w="200"/>
              <w:bottom w:type="dxa" w:w="80"/>
              <w:right w:type="dxa" w:w="120"/>
            </w:tcMar>
          </w:tcPr>
          <w:p>
            <w:pPr>
              <w:spacing w:after="60"/>
            </w:pPr>
            <w:r>
              <w:rPr>
                <w:rFonts w:ascii="Arial" w:cs="Arial" w:eastAsia="Arial" w:hAnsi="Arial"/>
                <w:color w:val="263238"/>
                <w:sz w:val="20"/>
                <w:szCs w:val="20"/>
              </w:rPr>
              <w:t xml:space="preserve">Nombre y apellidos: _____________________________________________________</w:t>
            </w:r>
          </w:p>
          <w:p>
            <w:pPr>
              <w:spacing w:after="60"/>
            </w:pPr>
            <w:r>
              <w:rPr>
                <w:rFonts w:ascii="Arial" w:cs="Arial" w:eastAsia="Arial" w:hAnsi="Arial"/>
                <w:color w:val="263238"/>
                <w:sz w:val="20"/>
                <w:szCs w:val="20"/>
              </w:rPr>
              <w:t xml:space="preserve">Fecha: ____________________________________________________________________</w:t>
            </w:r>
          </w:p>
          <w:p>
            <w:pPr>
              <w:spacing w:after="60"/>
            </w:pPr>
            <w:r>
              <w:rPr>
                <w:rFonts w:ascii="Arial" w:cs="Arial" w:eastAsia="Arial" w:hAnsi="Arial"/>
                <w:color w:val="263238"/>
                <w:sz w:val="20"/>
                <w:szCs w:val="20"/>
              </w:rPr>
              <w:t xml:space="preserve">Identificador de recursos usado (ej. escaparate-db-&lt;tu-identificador&gt;): _______________________</w:t>
            </w:r>
          </w:p>
          <w:p>
            <w:pPr>
              <w:spacing w:after="60"/>
            </w:pPr>
            <w:r>
              <w:rPr>
                <w:rFonts w:ascii="Arial" w:cs="Arial" w:eastAsia="Arial" w:hAnsi="Arial"/>
                <w:color w:val="263238"/>
                <w:sz w:val="20"/>
                <w:szCs w:val="20"/>
              </w:rPr>
              <w:t xml:space="preserve">Repositorio Git de tu proyecto (URL): ___________________________________</w:t>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A — RDS sin credenciales en el código</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Paso 1 — Crea la base de datos desde la consola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Instancia RDS en estado available, con su endpoint visible (actividad_3_2_paso1_a.png)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Secreto de la base de datos listado en Secrets Manager, sin mostrar su valor (actividad_3_2_paso1_b.png)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r>
        <w:br w:type="page"/>
      </w:r>
    </w:p>
    <w:p>
      <w:pPr>
        <w:pBdr>
          <w:bottom w:val="single" w:color="FFA000" w:sz="4" w:space="1"/>
        </w:pBdr>
        <w:spacing w:after="120" w:before="240"/>
      </w:pPr>
      <w:r>
        <w:rPr>
          <w:rFonts w:ascii="Arial" w:cs="Arial" w:eastAsia="Arial" w:hAnsi="Arial"/>
          <w:b/>
          <w:bCs/>
          <w:color w:val="3949AB"/>
          <w:sz w:val="24"/>
          <w:szCs w:val="24"/>
        </w:rPr>
        <w:t xml:space="preserve">Paso 2 — Conecta el catálogo resolviendo el secreto en tiempo de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El catálogo mostrando datos reales servidos desde RDS (actividad_3_2_paso2.png)</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Grep sobre el repositorio que no encuentra ninguna credencial en texto plano</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200"/>
      </w:pPr>
    </w:p>
    <w:p>
      <w:pPr>
        <w:pBdr>
          <w:bottom w:val="single" w:color="FFA000" w:sz="4" w:space="1"/>
        </w:pBdr>
        <w:spacing w:after="120" w:before="240"/>
      </w:pPr>
      <w:r>
        <w:rPr>
          <w:rFonts w:ascii="Arial" w:cs="Arial" w:eastAsia="Arial" w:hAnsi="Arial"/>
          <w:b/>
          <w:bCs/>
          <w:color w:val="3949AB"/>
          <w:sz w:val="24"/>
          <w:szCs w:val="24"/>
        </w:rPr>
        <w:t xml:space="preserve">Reflexiona</w:t>
      </w:r>
    </w:p>
    <w:p>
      <w:pPr>
        <w:spacing w:after="100"/>
      </w:pPr>
      <w:r>
        <w:rPr>
          <w:rFonts w:ascii="Arial" w:cs="Arial" w:eastAsia="Arial" w:hAnsi="Arial"/>
          <w:color w:val="212121"/>
          <w:sz w:val="22"/>
          <w:szCs w:val="22"/>
        </w:rPr>
        <w:t xml:space="preserve">Si mañana cambia la contraseña de la base de datos (por ejemplo, por rotación automática), ¿qué parte de tu configuración tendrías que tocar para que el catálogo siga funcionando? Compáralo con lo que habría pasado si la contraseña estuviera escrita directamente en el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r>
        <w:trPr>
          <w:trHeight w:val="480"/>
        </w:trPr>
        <w:tc>
          <w:tcPr>
            <w:tcW w:type="dxa" w:w="9638"/>
            <w:tcBorders>
              <w:top w:val="single" w:color="E0E0E0" w:sz="4"/>
              <w:left w:val="single" w:color="E0E0E0" w:sz="4"/>
              <w:bottom w:val="single" w:color="E0E0E0" w:sz="4"/>
              <w:right w:val="single" w:color="E0E0E0" w:sz="4"/>
            </w:tcBorders>
            <w:shd w:fill="FAFAFA" w:val="clear"/>
            <w:tcMar>
              <w:top w:type="dxa" w:w="60"/>
              <w:left w:type="dxa" w:w="160"/>
              <w:bottom w:type="dxa" w:w="60"/>
              <w:right w:type="dxa" w:w="160"/>
            </w:tcMar>
          </w:tcPr>
          <w:p>
            <w:r>
              <w:rPr>
                <w:sz w:val="22"/>
                <w:szCs w:val="22"/>
              </w:rPr>
              <w:t xml:space="preserve"/>
            </w:r>
          </w:p>
        </w:tc>
      </w:tr>
    </w:tbl>
    <w:p>
      <w:pPr>
        <w:spacing w:after="200"/>
      </w:pPr>
    </w:p>
    <w:p>
      <w:r>
        <w:br w:type="page"/>
      </w:r>
    </w:p>
    <w:p>
      <w:pPr>
        <w:shd w:fill="3949AB" w:val="clear"/>
        <w:spacing w:after="0" w:before="320"/>
        <w:ind w:left="200" w:right="200"/>
      </w:pPr>
      <w:r>
        <w:rPr>
          <w:rFonts w:ascii="Arial" w:cs="Arial" w:eastAsia="Arial" w:hAnsi="Arial"/>
          <w:b/>
          <w:bCs/>
          <w:color w:val="FFFFFF"/>
          <w:sz w:val="26"/>
          <w:szCs w:val="26"/>
        </w:rPr>
        <w:t xml:space="preserve">Parte B — Reto: interrupción real y bases de datos sin montar</w:t>
      </w:r>
    </w:p>
    <w:p>
      <w:pPr>
        <w:spacing w:after="120"/>
      </w:pPr>
    </w:p>
    <w:p>
      <w:pPr>
        <w:pBdr>
          <w:bottom w:val="single" w:color="FFA000" w:sz="4" w:space="1"/>
        </w:pBdr>
        <w:spacing w:after="120" w:before="240"/>
      </w:pPr>
      <w:r>
        <w:rPr>
          <w:rFonts w:ascii="Arial" w:cs="Arial" w:eastAsia="Arial" w:hAnsi="Arial"/>
          <w:b/>
          <w:bCs/>
          <w:color w:val="3949AB"/>
          <w:sz w:val="24"/>
          <w:szCs w:val="24"/>
        </w:rPr>
        <w:t xml:space="preserve">Conmutación por error medida con precisión</w:t>
      </w:r>
    </w:p>
    <w:p>
      <w:pPr>
        <w:spacing w:after="100"/>
      </w:pPr>
      <w:r>
        <w:rPr>
          <w:rFonts w:ascii="Arial" w:cs="Arial" w:eastAsia="Arial" w:hAnsi="Arial"/>
          <w:color w:val="212121"/>
          <w:sz w:val="22"/>
          <w:szCs w:val="22"/>
        </w:rPr>
        <w:t xml:space="preserve">Activa Multi-AZ y fuerza una conmutación. Mide con precisión cuánto tiempo real está el catálogo sin poder consultar la base de datos, desde el primer error hasta la primera consulta correcta tras la conmutación.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949AB" w:val="clear"/>
            <w:tcMar>
              <w:top w:type="dxa" w:w="80"/>
              <w:left w:type="dxa" w:w="160"/>
              <w:bottom w:type="dxa" w:w="80"/>
              <w:right w:type="dxa" w:w="160"/>
            </w:tcMar>
          </w:tcPr>
          <w:p>
            <w:r>
              <w:rPr>
                <w:rFonts w:ascii="Arial" w:cs="Arial" w:eastAsia="Arial" w:hAnsi="Arial"/>
                <w:b/>
                <w:bCs/>
                <w:color w:val="FFFFFF"/>
                <w:sz w:val="20"/>
                <w:szCs w:val="20"/>
              </w:rPr>
              <w:t xml:space="preserve">📸 Cronómetro o registro de la interrupción real</w:t>
            </w:r>
          </w:p>
        </w:tc>
      </w:tr>
      <w:tr>
        <w:trPr>
          <w:trHeight w:val="2400"/>
        </w:trPr>
        <w:tc>
          <w:tcPr>
            <w:tcW w:type="dxa" w:w="9638"/>
            <w:tcBorders>
              <w:top w:val="single" w:color="E0E0E0" w:sz="4"/>
              <w:left w:val="single" w:color="E0E0E0" w:sz="4"/>
              <w:bottom w:val="single" w:color="E0E0E0" w:sz="4"/>
              <w:right w:val="single" w:color="E0E0E0" w:sz="4"/>
            </w:tcBorders>
            <w:shd w:fill="FAFAFA" w:val="clear"/>
            <w:tcMar>
              <w:top w:type="dxa" w:w="80"/>
              <w:left w:type="dxa" w:w="160"/>
              <w:bottom w:type="dxa" w:w="80"/>
              <w:right w:type="dxa" w:w="160"/>
            </w:tcMar>
          </w:tcPr>
          <w:p>
            <w:pPr>
              <w:jc w:val="center"/>
            </w:pPr>
            <w:r>
              <w:rPr>
                <w:rFonts w:ascii="Arial" w:cs="Arial" w:eastAsia="Arial" w:hAnsi="Arial"/>
                <w:i/>
                <w:iCs/>
                <w:color w:val="757575"/>
                <w:sz w:val="20"/>
                <w:szCs w:val="20"/>
              </w:rPr>
              <w:t xml:space="preserve">[Pega aquí la captura de pantalla]</w:t>
            </w:r>
          </w:p>
        </w:tc>
      </w:tr>
    </w:tbl>
    <w:p>
      <w:pPr>
        <w:spacing w:after="160"/>
      </w:pPr>
    </w:p>
    <w:p>
      <w:pPr>
        <w:pBdr>
          <w:bottom w:val="single" w:color="FFA000" w:sz="4" w:space="1"/>
        </w:pBdr>
        <w:spacing w:after="120" w:before="240"/>
      </w:pPr>
      <w:r>
        <w:rPr>
          <w:rFonts w:ascii="Arial" w:cs="Arial" w:eastAsia="Arial" w:hAnsi="Arial"/>
          <w:b/>
          <w:bCs/>
          <w:color w:val="3949AB"/>
          <w:sz w:val="24"/>
          <w:szCs w:val="24"/>
        </w:rPr>
        <w:t xml:space="preserve">Clasifica sin montar nada: tres patrones de acceso</w:t>
      </w:r>
    </w:p>
    <w:p>
      <w:pPr>
        <w:spacing w:after="100"/>
      </w:pPr>
      <w:r>
        <w:rPr>
          <w:rFonts w:ascii="Arial" w:cs="Arial" w:eastAsia="Arial" w:hAnsi="Arial"/>
          <w:color w:val="212121"/>
          <w:sz w:val="22"/>
          <w:szCs w:val="22"/>
        </w:rPr>
        <w:t xml:space="preserve">Para cada patrón, decide qué modelo de base de datos (relacional, clave-valor o documental) encaja mejor y justifica por qué los otros dos encajan peor.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1735"/>
        <w:gridCol w:w="4819"/>
      </w:tblGrid>
      <w:tr>
        <w:tc>
          <w:tcPr>
            <w:tcW w:type="dxa" w:w="3084"/>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Patrón de acceso</w:t>
            </w:r>
          </w:p>
        </w:tc>
        <w:tc>
          <w:tcPr>
            <w:tcW w:type="dxa" w:w="1735"/>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Modelo elegido</w:t>
            </w:r>
          </w:p>
        </w:tc>
        <w:tc>
          <w:tcPr>
            <w:tcW w:type="dxa" w:w="4819"/>
            <w:tcBorders>
              <w:top w:val="single" w:color="E0E0E0" w:sz="4"/>
              <w:left w:val="single" w:color="E0E0E0" w:sz="4"/>
              <w:bottom w:val="single" w:color="E0E0E0" w:sz="4"/>
              <w:right w:val="single" w:color="E0E0E0" w:sz="4"/>
            </w:tcBorders>
            <w:shd w:fill="3949AB"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Justificación</w:t>
            </w:r>
          </w:p>
        </w:tc>
      </w:tr>
      <w:tr>
        <w:trPr>
          <w:trHeight w:val="800"/>
        </w:trPr>
        <w:tc>
          <w:tcPr>
            <w:tcW w:type="dxa" w:w="308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r>
        <w:trPr>
          <w:trHeight w:val="800"/>
        </w:trPr>
        <w:tc>
          <w:tcPr>
            <w:tcW w:type="dxa" w:w="3084"/>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5F5F5" w:val="clear"/>
            <w:tcMar>
              <w:top w:type="dxa" w:w="80"/>
              <w:left w:type="dxa" w:w="140"/>
              <w:bottom w:type="dxa" w:w="80"/>
              <w:right w:type="dxa" w:w="100"/>
            </w:tcMar>
          </w:tcPr>
          <w:p>
            <w:r>
              <w:rPr>
                <w:sz w:val="22"/>
                <w:szCs w:val="22"/>
              </w:rPr>
              <w:t xml:space="preserve"/>
            </w:r>
          </w:p>
        </w:tc>
      </w:tr>
      <w:tr>
        <w:trPr>
          <w:trHeight w:val="800"/>
        </w:trPr>
        <w:tc>
          <w:tcPr>
            <w:tcW w:type="dxa" w:w="3084"/>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1735"/>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c>
          <w:tcPr>
            <w:tcW w:type="dxa" w:w="4819"/>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00"/>
            </w:tcMar>
          </w:tcPr>
          <w:p>
            <w:r>
              <w:rPr>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spacing w:before="120"/>
    </w:pPr>
    <w:r>
      <w:rPr>
        <w:rFonts w:ascii="Arial" w:cs="Arial" w:eastAsia="Arial" w:hAnsi="Arial"/>
        <w:color w:val="757575"/>
        <w:sz w:val="18"/>
        <w:szCs w:val="18"/>
      </w:rPr>
      <w:t xml:space="preserve">Nombre: _______________________________________   Fecha: _______________   Página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38"/>
      <w:gridCol w:w="2800"/>
    </w:tblGrid>
    <w:tr>
      <w:tc>
        <w:tcPr>
          <w:tcW w:type="dxa" w:w="6838"/>
          <w:tcBorders>
            <w:top w:val="none" w:color="FFFFFF" w:sz="0"/>
            <w:left w:val="none" w:color="FFFFFF" w:sz="0"/>
            <w:bottom w:val="none" w:color="FFFFFF" w:sz="0"/>
            <w:right w:val="none" w:color="FFFFFF" w:sz="0"/>
          </w:tcBorders>
          <w:shd w:fill="1A237E" w:val="clear"/>
          <w:tcMar>
            <w:top w:type="dxa" w:w="100"/>
            <w:left w:type="dxa" w:w="200"/>
            <w:bottom w:type="dxa" w:w="100"/>
            <w:right w:type="dxa" w:w="100"/>
          </w:tcMar>
        </w:tcPr>
        <w:p>
          <w:r>
            <w:rPr>
              <w:rFonts w:ascii="Arial" w:cs="Arial" w:eastAsia="Arial" w:hAnsi="Arial"/>
              <w:b/>
              <w:bCs/>
              <w:color w:val="FFFFFF"/>
              <w:sz w:val="20"/>
              <w:szCs w:val="20"/>
            </w:rPr>
            <w:t xml:space="preserve">Introducción a la Nube Pública — Tema 3 — Almacenamiento, datos y primera arquitectura</w:t>
          </w:r>
        </w:p>
      </w:tc>
      <w:tc>
        <w:tcPr>
          <w:tcW w:type="dxa" w:w="2800"/>
          <w:tcBorders>
            <w:top w:val="none" w:color="FFFFFF" w:sz="0"/>
            <w:left w:val="none" w:color="FFFFFF" w:sz="0"/>
            <w:bottom w:val="none" w:color="FFFFFF" w:sz="0"/>
            <w:right w:val="none" w:color="FFFFFF" w:sz="0"/>
          </w:tcBorders>
          <w:shd w:fill="FFA000" w:val="clear"/>
          <w:tcMar>
            <w:top w:type="dxa" w:w="100"/>
            <w:left w:type="dxa" w:w="100"/>
            <w:bottom w:type="dxa" w:w="100"/>
            <w:right w:type="dxa" w:w="200"/>
          </w:tcMar>
        </w:tcPr>
        <w:p>
          <w:pPr>
            <w:jc w:val="right"/>
          </w:pPr>
          <w:r>
            <w:rPr>
              <w:rFonts w:ascii="Arial" w:cs="Arial" w:eastAsia="Arial" w:hAnsi="Arial"/>
              <w:b/>
              <w:bCs/>
              <w:color w:val="FFFFFF"/>
              <w:sz w:val="20"/>
              <w:szCs w:val="20"/>
            </w:rPr>
            <w:t xml:space="preserve">Actividad 3.2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2026-08-14T12:51:21.691Z</dcterms:created>
  <dcterms:modified xsi:type="dcterms:W3CDTF">2026-08-14T12:51:21.692Z</dcterms:modified>
</cp:coreProperties>
</file>

<file path=docProps/custom.xml><?xml version="1.0" encoding="utf-8"?>
<Properties xmlns="http://schemas.openxmlformats.org/officeDocument/2006/custom-properties" xmlns:vt="http://schemas.openxmlformats.org/officeDocument/2006/docPropsVTypes"/>
</file>