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3.3</w:t>
      </w:r>
    </w:p>
    <w:p>
      <w:pPr>
        <w:shd w:fill="3949AB" w:val="clear"/>
        <w:spacing w:after="0" w:before="0"/>
        <w:ind w:left="200" w:right="200"/>
      </w:pPr>
      <w:r>
        <w:rPr>
          <w:rFonts w:ascii="Arial" w:cs="Arial" w:eastAsia="Arial" w:hAnsi="Arial"/>
          <w:i/>
          <w:iCs/>
          <w:color w:val="FFFFFF"/>
          <w:sz w:val="28"/>
          <w:szCs w:val="28"/>
        </w:rPr>
        <w:t xml:space="preserve">Escaparate en tres capas</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escaparate-app-&lt;tu-identificador&gt;):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Despliega la arquitectura completa</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Lanza la aplicación en la subred pública, por CLI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los logs de arranque mostrando la conexión correcta a RDS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2 — Verifica la cadena completa desde el navegador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catálogo completo funcionando, con datos e imágenes reales (actividad_3_3_paso2.png)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Para el front, la URL de la sesión 1 y la de hoy son la misma — no ha cambiado nada de cara al usuario. Pero de puertas para adentro sí ha cambiado todo. ¿Qué le pasaría al front si cambiaras hoy el endpoint de la base de datos sin actualizar la configuración de la aplicación?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documenta la arquitectura de verdad</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El diagrama</w:t>
      </w:r>
    </w:p>
    <w:p>
      <w:pPr>
        <w:spacing w:after="100"/>
      </w:pPr>
      <w:r>
        <w:rPr>
          <w:rFonts w:ascii="Arial" w:cs="Arial" w:eastAsia="Arial" w:hAnsi="Arial"/>
          <w:color w:val="212121"/>
          <w:sz w:val="22"/>
          <w:szCs w:val="22"/>
        </w:rPr>
        <w:t xml:space="preserve">Arquitectura completa tal como existe de verdad en tu cuenta — todas las capas, todas las subredes, qué habla con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Diagrama completo de la arquitectura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El coste</w:t>
      </w:r>
    </w:p>
    <w:p>
      <w:pPr>
        <w:spacing w:after="100"/>
      </w:pPr>
      <w:r>
        <w:rPr>
          <w:rFonts w:ascii="Arial" w:cs="Arial" w:eastAsia="Arial" w:hAnsi="Arial"/>
          <w:color w:val="212121"/>
          <w:sz w:val="22"/>
          <w:szCs w:val="22"/>
        </w:rPr>
        <w:t xml:space="preserve">Coste mensual real de mantener esta arquitectura funcionando permanentemente, desglosado por servicio (instancia, RDS, almacenamiento, transferencia).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Desglose de coste por servicio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Los puntos únicos de fallo</w:t>
      </w:r>
    </w:p>
    <w:p>
      <w:pPr>
        <w:spacing w:after="100"/>
      </w:pPr>
      <w:r>
        <w:rPr>
          <w:rFonts w:ascii="Arial" w:cs="Arial" w:eastAsia="Arial" w:hAnsi="Arial"/>
          <w:color w:val="212121"/>
          <w:sz w:val="22"/>
          <w:szCs w:val="22"/>
        </w:rPr>
        <w:t xml:space="preserve">Para cada punto único de fallo que identifiques en tu diagrama, explica exactamente qué se rompe y por qué esa pieza en concreto no tiene ningún respaldo ahora mismo.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3.3</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2026-08-14T12:42:52.759Z</dcterms:created>
  <dcterms:modified xsi:type="dcterms:W3CDTF">2026-08-14T12:42:52.760Z</dcterms:modified>
</cp:coreProperties>
</file>

<file path=docProps/custom.xml><?xml version="1.0" encoding="utf-8"?>
<Properties xmlns="http://schemas.openxmlformats.org/officeDocument/2006/custom-properties" xmlns:vt="http://schemas.openxmlformats.org/officeDocument/2006/docPropsVTypes"/>
</file>