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propia VPC en dos zonas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2 — Redes virtuales y servicios de cómputo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pistas-vpc-&lt;tu-identificador&gt;):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Diseñar y construir la VPC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la VPC y las subredes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Mapa de recursos de tu VPC: nombre y CIDR (10.0.0.0/16), con las cuatro subredes agrupadas por zona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Panel de Subredes mostrando el CIDR IPv4 de cada una de las cuatro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Convierte en públicas solo las subredes que deben serlo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Detalle de una subred pública tuya, con su Tabla de enrutamiento visible, junto al de una privada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Demuestra que la conectividad es la que dices que 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Predicción, antes de comprobar que la subred privada no sale a internet: qué mensaje de error o comportamiento exacto esperas 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curl desde la instancia pública, con respuesta HTTP 200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curl desde la instancia privada (ejecutado a través del salto SSH), sin respuesta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del ping entre la instancia pública y la privada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Amplía la red tú mismo, sin que nadie te dé ya los números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Tercera zona: cálculo y creación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CIDR que has calculado tú mismo para la tercera subred pública y la tercera privada, y por qué no se solapa con las cuatro anteriores.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subredes nuevas creadas, con su CIDR calculado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Conectividad de la zona nueva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Evidencia de que la zona nueva se comporta igual que las cuatro originales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Diagrama de red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red completo, con las seis subredes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2 — Redes virtuales y servicios de cómputo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2026-08-16T21:58:25.526Z</dcterms:created>
  <dcterms:modified xsi:type="dcterms:W3CDTF">2026-08-16T21:58:25.529Z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