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2.3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De instancia a plantilla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2 — Redes virtuales y servicios de cómputo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turnos-app-&lt;tu-identificador&gt;):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De instancia manual a imagen propia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Despliega la app de turnos con user data, solo en los puertos necesarios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app de turnos funcionando en el navegador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Grupo de seguridad mostrando solo los puertos estrictamente necesarios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tu propia imagen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AMI propia en estado available, con su nombre y tamaño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plantilla de lanzamiento y comparación de coste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Predicción: tiempo de arranque con imagen propia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construir la plantilla: si empaquetas tu propia AMI y arrancas una instancia desde ella, ¿cuánto crees que va a tardar en estar respondiendo, comparado con el tiempo de la Actividad 2.2 (que instalaba el servidor desde cero vía user data sobre una imagen genérica)? Escribe tu predicción y por qué crees eso.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Cronómetro real de arranque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Plantilla de lanzamiento parametrizada con tu propia imagen, dos instancias idénticas lanzadas desde ella, y el tiempo de arranque cronometrado de verdad.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Cronómetro real de arranque de las dos instancias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Comparación de coste entre tres familias de instancia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Coste mensual estimado de mantener la misma carga (instancia sirviendo el catálogo, tráfico moderado) en tres familias distintas.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4819"/>
      </w:tblGrid>
      <w:t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Familia de instancia</w:t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Coste mensual estimado</w:t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 (producción / clase)</w:t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2 — Redes virtuales y servicios de cómputo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2.3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2026-08-15T22:31:58.499Z</dcterms:created>
  <dcterms:modified xsi:type="dcterms:W3CDTF">2026-08-15T22:31:58.500Z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