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Times New Roman" w:cs="Times New Roman" w:eastAsia="Times New Roman" w:hAnsi="Times New Roman"/>
        </w:rPr>
        <w:t xml:space="preserve"/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Бағдарламалық қамтамасыздандыруды тестілеу</w:t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пәні бойынша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ЕСЕП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3-тапсырма: Жобаны іске қосу, Git-пен жұмыс және жүктемелік тестілеу</w:t>
      </w:r>
    </w:p>
    <w:p>
      <w:pPr>
        <w:spacing w:after="7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Жоба: TaskFlow — тапсырмалар тізімін басқаруға арналған веб-қосымша</w:t>
      </w:r>
    </w:p>
    <w:p>
      <w:pPr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Орындаған: Оразбай Айтуған</w:t>
      </w:r>
    </w:p>
    <w:p>
      <w:pPr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Тобы: Рпо1-23к</w:t>
      </w:r>
    </w:p>
    <w:p>
      <w:pPr>
        <w:spacing w:after="96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Тексерген: ______________________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Git репозиторийі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Жобаның бастапқы коды, баптаулары және іске қосу нұсқаулығы (README.md) GitHub платформасындағы ашық репозиторийге жүктелді.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Репозиторий сілтемесі: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[https://github.com/USERNAME/taskflow]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README.md файлында жобаның сипаттамасы, талаптар (Node.js 18+), іске қосу командалары (npm start), API эндпоинттерінің кестесі, JMeter тестін іске қосу тәртібі және белгілі ақаулар тізімі берілген.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600" w:hRule="atLeast"/>
        </w:trPr>
        <w:tc>
          <w:tcPr>
            <w:tcW w:type="dxa" w:w="9638"/>
            <w:tcBorders>
              <w:top w:val="dashed" w:color="7F7F7F" w:sz="6"/>
              <w:left w:val="dashed" w:color="7F7F7F" w:sz="6"/>
              <w:bottom w:val="dashed" w:color="7F7F7F" w:sz="6"/>
              <w:right w:val="dashed" w:color="7F7F7F" w:sz="6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</w:rPr>
              <w:t xml:space="preserve">[Мұнда скриншотты қойыңыз]</w:t>
            </w:r>
          </w:p>
        </w:tc>
      </w:tr>
    </w:tbl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1-скриншот. GitHub репозиторийінің басты беті (файлдар тізімі және README)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Қолданылған құрал және орта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Жүктемелік тестілеу үшін Apache JMeter (нұсқасы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[5.6.3]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қолданылды. Тестілеу жергілікті ортада жүргізілді: сервер Node.js (нұсқасы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[22.x]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деректер жад ішінде (in-memory) сақталады. Компьютер: ОЖ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[Windows 11]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процессор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[Intel Core i5]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жедел жады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[16]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ГБ. Сервер мекенжайы: http://localhost:3000. Серверді іске қосу командасы: npm start.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Тест сценарийі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Әр виртуалды пайдаланушы бір рет тіркеледі және жүйеге кіреді (Once Only Controller), содан кейін 10 цикл бойы екі сұраныс жібереді. Токен JSON Extractor арқылы автоматты түрде алынып, келесі сұраныстарда Authorization: Bearer тақырыбымен жіберіледі. Сұраныстар арасында 500 мс күту (Constant Timer) қойылған. Әр сұраныста Response Assertion арқылы күтілетін HTTP код тексеріледі.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2800"/>
        <w:gridCol w:w="3738"/>
      </w:tblGrid>
      <w:tr>
        <w:trPr>
          <w:tblHeader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Сұраныс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Қашан орындалады</w:t>
            </w:r>
          </w:p>
        </w:tc>
        <w:tc>
          <w:tcPr>
            <w:tcW w:type="dxa" w:w="3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Мақсаты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POST /api/register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Әр пайдаланушыға 1 рет</w:t>
            </w:r>
          </w:p>
        </w:tc>
        <w:tc>
          <w:tcPr>
            <w:tcW w:type="dxa" w:w="3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Бірегей email-мен тіркелу (күтілетін код 201)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POST /api/login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Әр пайдаланушыға 1 рет</w:t>
            </w:r>
          </w:p>
        </w:tc>
        <w:tc>
          <w:tcPr>
            <w:tcW w:type="dxa" w:w="3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Токен алу (код 200)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 /api/tasks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Әр циклде</w:t>
            </w:r>
          </w:p>
        </w:tc>
        <w:tc>
          <w:tcPr>
            <w:tcW w:type="dxa" w:w="3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Тапсырмалар тізімін алу (код 200)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POST /api/tasks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Әр циклде</w:t>
            </w:r>
          </w:p>
        </w:tc>
        <w:tc>
          <w:tcPr>
            <w:tcW w:type="dxa" w:w="3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Жаңа тапсырма қосу (код 201)</w:t>
            </w:r>
          </w:p>
        </w:tc>
      </w:tr>
    </w:tbl>
    <w:p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Жүктеме төрт кезеңмен біртіндеп арттырылды. Кезеңдер бірінен соң бірі орындалды (Run Thread Groups consecutively).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2000"/>
        <w:gridCol w:w="1800"/>
        <w:gridCol w:w="2738"/>
      </w:tblGrid>
      <w:tr>
        <w:trPr>
          <w:tblHeader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Кезең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Threads (пайдаланушылар)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Ramp-Up (сек)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Циклдер саны</w:t>
            </w:r>
          </w:p>
        </w:tc>
        <w:tc>
          <w:tcPr>
            <w:tcW w:type="dxa" w:w="2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Күтілетін сұраныс саны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2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220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50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2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1100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2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2200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200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2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4400</w:t>
            </w:r>
          </w:p>
        </w:tc>
      </w:tr>
    </w:tbl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Күтілетін сұраныс саны = Threads × (2 + 2 × 10).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600" w:hRule="atLeast"/>
        </w:trPr>
        <w:tc>
          <w:tcPr>
            <w:tcW w:type="dxa" w:w="9638"/>
            <w:tcBorders>
              <w:top w:val="dashed" w:color="7F7F7F" w:sz="6"/>
              <w:left w:val="dashed" w:color="7F7F7F" w:sz="6"/>
              <w:bottom w:val="dashed" w:color="7F7F7F" w:sz="6"/>
              <w:right w:val="dashed" w:color="7F7F7F" w:sz="6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</w:rPr>
              <w:t xml:space="preserve">[Мұнда скриншотты қойыңыз]</w:t>
            </w:r>
          </w:p>
        </w:tc>
      </w:tr>
    </w:tbl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2-скриншот. Test Plan құрылымы: төрт Thread Group және listener-лер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600" w:hRule="atLeast"/>
        </w:trPr>
        <w:tc>
          <w:tcPr>
            <w:tcW w:type="dxa" w:w="9638"/>
            <w:tcBorders>
              <w:top w:val="dashed" w:color="7F7F7F" w:sz="6"/>
              <w:left w:val="dashed" w:color="7F7F7F" w:sz="6"/>
              <w:bottom w:val="dashed" w:color="7F7F7F" w:sz="6"/>
              <w:right w:val="dashed" w:color="7F7F7F" w:sz="6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</w:rPr>
              <w:t xml:space="preserve">[Мұнда скриншотты қойыңыз]</w:t>
            </w:r>
          </w:p>
        </w:tc>
      </w:tr>
    </w:tbl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3-скриншот. Thread Group параметрлері (Number of Threads, Ramp-Up Period, Loop Count)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600" w:hRule="atLeast"/>
        </w:trPr>
        <w:tc>
          <w:tcPr>
            <w:tcW w:type="dxa" w:w="9638"/>
            <w:tcBorders>
              <w:top w:val="dashed" w:color="7F7F7F" w:sz="6"/>
              <w:left w:val="dashed" w:color="7F7F7F" w:sz="6"/>
              <w:bottom w:val="dashed" w:color="7F7F7F" w:sz="6"/>
              <w:right w:val="dashed" w:color="7F7F7F" w:sz="6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</w:rPr>
              <w:t xml:space="preserve">[Мұнда скриншотты қойыңыз]</w:t>
            </w:r>
          </w:p>
        </w:tc>
      </w:tr>
    </w:tbl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4-скриншот. HTTP Request (POST /api/login) және JSON Extractor (token)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600" w:hRule="atLeast"/>
        </w:trPr>
        <w:tc>
          <w:tcPr>
            <w:tcW w:type="dxa" w:w="9638"/>
            <w:tcBorders>
              <w:top w:val="dashed" w:color="7F7F7F" w:sz="6"/>
              <w:left w:val="dashed" w:color="7F7F7F" w:sz="6"/>
              <w:bottom w:val="dashed" w:color="7F7F7F" w:sz="6"/>
              <w:right w:val="dashed" w:color="7F7F7F" w:sz="6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</w:rPr>
              <w:t xml:space="preserve">[Мұнда скриншотты қойыңыз]</w:t>
            </w:r>
          </w:p>
        </w:tc>
      </w:tr>
    </w:tbl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5-скриншот. HTTP Header Manager (Authorization: Bearer ${token}) және Constant Timer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Нәтижелер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Төмендегі кесте Summary Report / Aggregate Report деректері бойынша толтырылды.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100"/>
        <w:gridCol w:w="1500"/>
        <w:gridCol w:w="1500"/>
        <w:gridCol w:w="1500"/>
        <w:gridCol w:w="1400"/>
        <w:gridCol w:w="1838"/>
      </w:tblGrid>
      <w:tr>
        <w:trPr>
          <w:tblHeader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Кезең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Threads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Сұраныстар саны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Орташа уақыт (мс)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Максимум (мс)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Error %</w:t>
            </w:r>
          </w:p>
        </w:tc>
        <w:tc>
          <w:tcPr>
            <w:tcW w:type="dxa" w:w="1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Throughput (сұр/сек)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</w:rPr>
              <w:t xml:space="preserve">[   ]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</w:rPr>
              <w:t xml:space="preserve">[   ]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</w:rPr>
              <w:t xml:space="preserve">[   ]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</w:rPr>
              <w:t xml:space="preserve">[   ]</w:t>
            </w:r>
          </w:p>
        </w:tc>
        <w:tc>
          <w:tcPr>
            <w:tcW w:type="dxa" w:w="1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</w:rPr>
              <w:t xml:space="preserve">[   ]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</w:rPr>
              <w:t xml:space="preserve">[   ]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</w:rPr>
              <w:t xml:space="preserve">[   ]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</w:rPr>
              <w:t xml:space="preserve">[   ]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</w:rPr>
              <w:t xml:space="preserve">[   ]</w:t>
            </w:r>
          </w:p>
        </w:tc>
        <w:tc>
          <w:tcPr>
            <w:tcW w:type="dxa" w:w="1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</w:rPr>
              <w:t xml:space="preserve">[   ]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</w:rPr>
              <w:t xml:space="preserve">[   ]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</w:rPr>
              <w:t xml:space="preserve">[   ]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</w:rPr>
              <w:t xml:space="preserve">[   ]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</w:rPr>
              <w:t xml:space="preserve">[   ]</w:t>
            </w:r>
          </w:p>
        </w:tc>
        <w:tc>
          <w:tcPr>
            <w:tcW w:type="dxa" w:w="1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</w:rPr>
              <w:t xml:space="preserve">[   ]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</w:rPr>
              <w:t xml:space="preserve">[   ]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</w:rPr>
              <w:t xml:space="preserve">[   ]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</w:rPr>
              <w:t xml:space="preserve">[   ]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</w:rPr>
              <w:t xml:space="preserve">[   ]</w:t>
            </w:r>
          </w:p>
        </w:tc>
        <w:tc>
          <w:tcPr>
            <w:tcW w:type="dxa" w:w="1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</w:rPr>
              <w:t xml:space="preserve">[   ]</w:t>
            </w:r>
          </w:p>
        </w:tc>
      </w:tr>
    </w:tbl>
    <w:p>
      <w:r>
        <w:rPr>
          <w:rFonts w:ascii="Times New Roman" w:cs="Times New Roman" w:eastAsia="Times New Roman" w:hAnsi="Times New Roman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600" w:hRule="atLeast"/>
        </w:trPr>
        <w:tc>
          <w:tcPr>
            <w:tcW w:type="dxa" w:w="9638"/>
            <w:tcBorders>
              <w:top w:val="dashed" w:color="7F7F7F" w:sz="6"/>
              <w:left w:val="dashed" w:color="7F7F7F" w:sz="6"/>
              <w:bottom w:val="dashed" w:color="7F7F7F" w:sz="6"/>
              <w:right w:val="dashed" w:color="7F7F7F" w:sz="6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</w:rPr>
              <w:t xml:space="preserve">[Мұнда скриншотты қойыңыз]</w:t>
            </w:r>
          </w:p>
        </w:tc>
      </w:tr>
    </w:tbl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6-скриншот. Summary Report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600" w:hRule="atLeast"/>
        </w:trPr>
        <w:tc>
          <w:tcPr>
            <w:tcW w:type="dxa" w:w="9638"/>
            <w:tcBorders>
              <w:top w:val="dashed" w:color="7F7F7F" w:sz="6"/>
              <w:left w:val="dashed" w:color="7F7F7F" w:sz="6"/>
              <w:bottom w:val="dashed" w:color="7F7F7F" w:sz="6"/>
              <w:right w:val="dashed" w:color="7F7F7F" w:sz="6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</w:rPr>
              <w:t xml:space="preserve">[Мұнда скриншотты қойыңыз]</w:t>
            </w:r>
          </w:p>
        </w:tc>
      </w:tr>
    </w:tbl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7-скриншот. Aggregate Report (Average, 90% Line, 95% Line, Error %, Throughput)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600" w:hRule="atLeast"/>
        </w:trPr>
        <w:tc>
          <w:tcPr>
            <w:tcW w:type="dxa" w:w="9638"/>
            <w:tcBorders>
              <w:top w:val="dashed" w:color="7F7F7F" w:sz="6"/>
              <w:left w:val="dashed" w:color="7F7F7F" w:sz="6"/>
              <w:bottom w:val="dashed" w:color="7F7F7F" w:sz="6"/>
              <w:right w:val="dashed" w:color="7F7F7F" w:sz="6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</w:rPr>
              <w:t xml:space="preserve">[Мұнда скриншотты қойыңыз]</w:t>
            </w:r>
          </w:p>
        </w:tc>
      </w:tr>
    </w:tbl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8-скриншот. View Results Tree (сәтті және қате сұраныстар)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600" w:hRule="atLeast"/>
        </w:trPr>
        <w:tc>
          <w:tcPr>
            <w:tcW w:type="dxa" w:w="9638"/>
            <w:tcBorders>
              <w:top w:val="dashed" w:color="7F7F7F" w:sz="6"/>
              <w:left w:val="dashed" w:color="7F7F7F" w:sz="6"/>
              <w:bottom w:val="dashed" w:color="7F7F7F" w:sz="6"/>
              <w:right w:val="dashed" w:color="7F7F7F" w:sz="6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</w:rPr>
              <w:t xml:space="preserve">[Мұнда скриншотты қойыңыз]</w:t>
            </w:r>
          </w:p>
        </w:tc>
      </w:tr>
    </w:tbl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9-скриншот. Response Time Graph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600" w:hRule="atLeast"/>
        </w:trPr>
        <w:tc>
          <w:tcPr>
            <w:tcW w:type="dxa" w:w="9638"/>
            <w:tcBorders>
              <w:top w:val="dashed" w:color="7F7F7F" w:sz="6"/>
              <w:left w:val="dashed" w:color="7F7F7F" w:sz="6"/>
              <w:bottom w:val="dashed" w:color="7F7F7F" w:sz="6"/>
              <w:right w:val="dashed" w:color="7F7F7F" w:sz="6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</w:rPr>
              <w:t xml:space="preserve">[Мұнда скриншотты қойыңыз]</w:t>
            </w:r>
          </w:p>
        </w:tc>
      </w:tr>
    </w:tbl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10-скриншот. Сервердің logs/error.log файлы (егер қателер болса)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Талдау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Орташа жауап беру уақыты. 10 пайдаланушы кезінде орташа уақыт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  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мс, 50 пайдаланушы кезінде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  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мс, 100 пайдаланушы кезінде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  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мс, 200 пайдаланушы кезінде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  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мс болды.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[Өсу қай кезеңнен бастап күрт болғанын жазыңыз.]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Қателіктер. 1-кезеңде Error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  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%, 2-кезеңде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  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%, 3-кезеңде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  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%, 4-кезеңде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  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% болды.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[Қате түрі: HTTP код немесе Timeout/Connection refused; error.log немесе View Results Tree-ден қараңыз. Қате болмаса, осыны жазыңыз.]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Баяулау нүктесі. Жүйе шамамен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  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пайдаланушыда баяулай бастады: орташа уақыт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  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мс-тен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  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мс-ке дейін өсті.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  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пайдаланушы кезінде жүйе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[құлаған жоқ / құлады]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себебі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  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Мүмкін себептер (тек нақты бақылаумен немесе логтармен расталса ғана қалдырыңыз): Node.js коды бір процесте, бір ағында жұмыс істейді; тіркелу мен кіру кезінде пароль хэштеу синхронды орындалады және басқа сұраныстарды кідіртеді; тапсырмалар жад ішіндегі массивте сақталады және сүзу сызықтық іздеу арқылы жүреді, тапсырма саны өскен сайын GET /api/tasks жауабы ұлғаяды.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Қорытынды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Жүйе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  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пайдаланушыға дейін тұрақты жұмыс істейді (орташа уақыт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  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мс, Error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  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%). Одан жоғары жүктемеде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[жауап уақыты өседі / қателер пайда болады]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Ең жоғары жүктеме (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  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пайдаланушы) кезінде орташа уақыт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  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мс, Error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  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% болды.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Жақсарту бойынша ұсыныстар: пароль хэштеуді асинхронды (crypto.pbkdf2 / scrypt) орындау; Node.js cluster немесе бірнеше процесс қолдану; деректерді жад массивінің орнына индекстері бар дерекқорға (мысалы, PostgreSQL) көшіру; GET /api/tasks жауабына беттеу (pagination) және кэштеу қосу.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2026-10-27T18:32:54.871Z</dcterms:created>
  <dcterms:modified xsi:type="dcterms:W3CDTF">2026-10-27T18:32:54.872Z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