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rFonts w:ascii="Calibri" w:hAnsi="Calibri"/>
          <w:b/>
        </w:rPr>
      </w:pPr>
      <w:r>
        <w:rPr>
          <w:rFonts w:ascii="Calibri" w:hAnsi="Calibri"/>
          <w:b/>
        </w:rPr>
        <w:t>PROGRAM SZKOLENIA (Zaproszenie dla Gmin)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b/>
        </w:rPr>
      </w:pPr>
      <w:r>
        <w:rPr>
          <w:rFonts w:ascii="Calibri" w:hAnsi="Calibri"/>
          <w:b/>
        </w:rPr>
        <w:t>Temat: Modernizacja EGiB jako narzędzie zwiększania dochodów i bezpiecznego zarządzania gminą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ascii="Calibri" w:hAnsi="Calibri"/>
          <w:b/>
        </w:rPr>
        <w:t>Adresaci szkolenia:</w:t>
      </w:r>
      <w:r>
        <w:rPr/>
        <w:t> </w:t>
      </w:r>
      <w:r>
        <w:rPr>
          <w:rFonts w:ascii="Calibri" w:hAnsi="Calibri"/>
        </w:rPr>
        <w:t>Wójtowie, Burmistrzowie, Skarbnicy Gmin, Kierownicy i Pracownicy Referatów Finansowych (Podatków), Gospodarki Nieruchomościami oraz Planowania Przestrzennego.</w:t>
        <w:br/>
      </w:r>
      <w:r>
        <w:rPr>
          <w:rFonts w:ascii="Calibri" w:hAnsi="Calibri"/>
          <w:b/>
        </w:rPr>
        <w:t>Prowadzący:</w:t>
      </w:r>
      <w:r>
        <w:rPr/>
        <w:t> mgr inż. Marzena Danecka – ekspertka firmy UnimapT</w:t>
      </w:r>
      <w:r>
        <w:rPr/>
        <w:t>ech</w:t>
      </w:r>
      <w:r>
        <w:rPr/>
        <w:t xml:space="preserve"> sp. z o.o.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</w:rPr>
      </w:pPr>
      <w:r>
        <w:rPr>
          <w:rFonts w:ascii="Calibri" w:hAnsi="Calibri"/>
        </w:rPr>
        <w:t>Geodetka uprawniona w zakresie 1 i 2, posiada ponad 20 letnie doświadczenie w prowadzeniu złożonych projektów z zakresu ewidencji gruntów zdobyte na stanowisku geodety powiatowego i naczelnika wydziału geodezji, a także firmach komercyjnych.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b/>
        </w:rPr>
      </w:pPr>
      <w:r>
        <w:rPr>
          <w:rFonts w:ascii="Calibri" w:hAnsi="Calibri"/>
          <w:b/>
        </w:rPr>
        <w:t>Cel szkolenia: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</w:rPr>
      </w:pPr>
      <w:r>
        <w:rPr>
          <w:rFonts w:ascii="Calibri" w:hAnsi="Calibri"/>
        </w:rPr>
        <w:t>Przedstawienie procesu modernizacji ewidencji gruntów i budynków (EGiB) nie jako technicznego zadania powiatu, ale jako kluczowej inwestycji przynoszącej gminom bezpośrednie zyski finansowe, oszczędności budżetowe oraz pełne bezpieczeństwo prawne realizowanych zadań własnych.</w:t>
      </w:r>
    </w:p>
    <w:p>
      <w:pPr>
        <w:pStyle w:val="Liniapoziomauser"/>
        <w:pBdr>
          <w:bottom w:val="double" w:sz="4" w:space="0" w:color="808080"/>
        </w:pBdr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b/>
        </w:rPr>
      </w:pPr>
      <w:r>
        <w:rPr>
          <w:rFonts w:ascii="Calibri" w:hAnsi="Calibri"/>
          <w:b/>
        </w:rPr>
        <w:t>Szczegółowy Blok Tematyczny: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b/>
        </w:rPr>
      </w:pPr>
      <w:r>
        <w:rPr>
          <w:rFonts w:ascii="Calibri" w:hAnsi="Calibri"/>
          <w:b/>
        </w:rPr>
        <w:t>Blok I: EGiB jako fundament decyzji administracyjnych gminy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Konstytucja danych:</w:t>
      </w:r>
      <w:r>
        <w:rPr/>
        <w:t> </w:t>
      </w:r>
      <w:r>
        <w:rPr>
          <w:rFonts w:ascii="Calibri" w:hAnsi="Calibri"/>
        </w:rPr>
        <w:t xml:space="preserve">Wiążący charakter zapisów ewidencji dla wójta/burmistrza (art. 21 </w:t>
      </w:r>
      <w:r>
        <w:rPr>
          <w:rFonts w:ascii="Calibri" w:hAnsi="Calibri"/>
          <w:i/>
        </w:rPr>
        <w:t>Prawa geodezyjnego i kartograficznego</w:t>
      </w:r>
      <w:r>
        <w:rPr>
          <w:rFonts w:ascii="Calibri" w:hAnsi="Calibri"/>
        </w:rPr>
        <w:t>).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Mechanizm domina:</w:t>
      </w:r>
      <w:r>
        <w:rPr/>
        <w:t> </w:t>
      </w:r>
      <w:r>
        <w:rPr>
          <w:rFonts w:ascii="Calibri" w:hAnsi="Calibri"/>
        </w:rPr>
        <w:t>Jak błędy w powiatowej bazie EGiB automatycznie generują wadliwość prawną decyzji podatkowych i lokalizacyjnych gminy.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b/>
        </w:rPr>
      </w:pPr>
      <w:r>
        <w:rPr>
          <w:rFonts w:ascii="Calibri" w:hAnsi="Calibri"/>
          <w:b/>
        </w:rPr>
        <w:t>Blok II: Ukryte dochody gminy – Wpływ modernizacji na podatki lokalne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Radykalny wzrost dochodów:</w:t>
      </w:r>
      <w:r>
        <w:rPr/>
        <w:t> </w:t>
      </w:r>
      <w:r>
        <w:rPr>
          <w:rFonts w:ascii="Calibri" w:hAnsi="Calibri"/>
        </w:rPr>
        <w:t>Finansowe skutki automatycznego przekształcania nieużytków i gruntów rolnych w tereny mieszkaniowe (B) oraz komercyjne (Ba, Bi) w oparciu o stawki maksymalne.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Weryfikacja budynków:</w:t>
      </w:r>
      <w:r>
        <w:rPr/>
        <w:t> </w:t>
      </w:r>
      <w:r>
        <w:rPr>
          <w:rFonts w:ascii="Calibri" w:hAnsi="Calibri"/>
        </w:rPr>
        <w:t>Ujawnienie obiektów niewykazanych w deklaracjach, weryfikacja realnej powierzchni użytkowej, liczby kondygnacji oraz zmian funkcji budynków (np. z gospodarczych na komercyjne).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Uporządkowanie podmiotowe:</w:t>
      </w:r>
      <w:r>
        <w:rPr/>
        <w:t> </w:t>
      </w:r>
      <w:r>
        <w:rPr>
          <w:rFonts w:ascii="Calibri" w:hAnsi="Calibri"/>
        </w:rPr>
        <w:t>Likwidacja "właścicieli widmo" – ustalanie faktycznych podatników i spadkobierców w celu skutecznej egzekucji zaległości podatkowych.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b/>
        </w:rPr>
      </w:pPr>
      <w:r>
        <w:rPr>
          <w:rFonts w:ascii="Calibri" w:hAnsi="Calibri"/>
          <w:b/>
        </w:rPr>
        <w:t>Blok III: Bezpieczny majątek i oszczędności w gospodarce nieruchomościami (Ugn)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Ochrona mienia komunalnego:</w:t>
      </w:r>
      <w:r>
        <w:rPr/>
        <w:t> </w:t>
      </w:r>
      <w:r>
        <w:rPr>
          <w:rFonts w:ascii="Calibri" w:hAnsi="Calibri"/>
        </w:rPr>
        <w:t xml:space="preserve">Bezkosztowa regulacja stanów prawnych i granic działek gminnych (art. 24 </w:t>
      </w:r>
      <w:r>
        <w:rPr>
          <w:rFonts w:ascii="Calibri" w:hAnsi="Calibri"/>
          <w:i/>
        </w:rPr>
        <w:t>Ustawy o gospodarce nieruchomościami</w:t>
      </w:r>
      <w:r>
        <w:rPr>
          <w:rFonts w:ascii="Calibri" w:hAnsi="Calibri"/>
        </w:rPr>
        <w:t>).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Przetargi bez barier:</w:t>
      </w:r>
      <w:r>
        <w:rPr/>
        <w:t> </w:t>
      </w:r>
      <w:r>
        <w:rPr>
          <w:rFonts w:ascii="Calibri" w:hAnsi="Calibri"/>
        </w:rPr>
        <w:t>Sprzedaż działek gminnych bez konieczności opłacania dodatkowych prac geodezyjnych (wznowienia granic) i bez ryzyka sąsiedzkich sporów blokujących przetargi.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Tarcza w pasie drogowym:</w:t>
      </w:r>
      <w:r>
        <w:rPr/>
        <w:t> </w:t>
      </w:r>
      <w:r>
        <w:rPr>
          <w:rFonts w:ascii="Calibri" w:hAnsi="Calibri"/>
        </w:rPr>
        <w:t>Prawidłowe wydzielenie dróg gminnych (użytek dr) jako ochrona przed roszczeniami odszkodowawczymi mieszkańców oraz podstawa do naliczania opłat za zajęcie pasa.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Opłaty adiacenckie i planistyczne:</w:t>
      </w:r>
      <w:r>
        <w:rPr/>
        <w:t> </w:t>
      </w:r>
      <w:r>
        <w:rPr>
          <w:rFonts w:ascii="Calibri" w:hAnsi="Calibri"/>
        </w:rPr>
        <w:t>Jak bezbłędna geometria bazy EGiB gwarantuje stabilność decyzji wójta przed Samorządowym Kolegium Odwoławczym (SKO).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b/>
        </w:rPr>
      </w:pPr>
      <w:r>
        <w:rPr>
          <w:rFonts w:ascii="Calibri" w:hAnsi="Calibri"/>
          <w:b/>
        </w:rPr>
        <w:t>Blok IV: Cyfrowy Urząd – Sprawne planowanie przestrzenne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Reforma planowania:</w:t>
      </w:r>
      <w:r>
        <w:rPr/>
        <w:t> </w:t>
      </w:r>
      <w:r>
        <w:rPr>
          <w:rFonts w:ascii="Calibri" w:hAnsi="Calibri"/>
        </w:rPr>
        <w:t>Dlaczego bez zmodernizowanej i spójnej bazy EGiB gmina nie będzie w stanie prawidłowo uchwalić nowego cyfrowego Planu Ogólnego Gminy.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Koniec z rozgraniczeniami:</w:t>
      </w:r>
      <w:r>
        <w:rPr/>
        <w:t> </w:t>
      </w:r>
      <w:r>
        <w:rPr>
          <w:rFonts w:ascii="Calibri" w:hAnsi="Calibri"/>
        </w:rPr>
        <w:t xml:space="preserve">Systemowe wygaszenie uciążliwych i konfliktowych społecznie postępowań o rozgraniczenie nieruchomości (art. 29 </w:t>
      </w:r>
      <w:r>
        <w:rPr>
          <w:rFonts w:ascii="Calibri" w:hAnsi="Calibri"/>
          <w:i/>
        </w:rPr>
        <w:t>Pgik</w:t>
      </w:r>
      <w:r>
        <w:rPr>
          <w:rFonts w:ascii="Calibri" w:hAnsi="Calibri"/>
        </w:rPr>
        <w:t>).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b/>
        </w:rPr>
      </w:pPr>
      <w:r>
        <w:rPr>
          <w:rFonts w:ascii="Calibri" w:hAnsi="Calibri"/>
          <w:b/>
        </w:rPr>
        <w:t>Blok V: Praktyczna instrukcja dla gminy – Jak wziąć aktywny udział w procesie?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Partnerstwo z powiatem:</w:t>
      </w:r>
      <w:r>
        <w:rPr/>
        <w:t> </w:t>
      </w:r>
      <w:r>
        <w:rPr>
          <w:rFonts w:ascii="Calibri" w:hAnsi="Calibri"/>
        </w:rPr>
        <w:t>Możliwości priorytetowego traktowania gminy i inżynieria finansowa (współfinansowanie).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Krytyczne 15 dni:</w:t>
      </w:r>
      <w:r>
        <w:rPr/>
        <w:t> </w:t>
      </w:r>
      <w:r>
        <w:rPr>
          <w:rFonts w:ascii="Calibri" w:hAnsi="Calibri"/>
        </w:rPr>
        <w:t>Jak pracownicy gminy powinni kontrolować wyłożenie projektu operatu, aby wymusić na firmie geodezyjnej bezpłatne poprawki na mieniu gminnym.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Symbol" w:cs="Symbol" w:ascii="Symbol" w:hAnsi="Symbol"/>
          <w:b/>
        </w:rPr>
        <w:sym w:font="Symbol" w:char="00b7"/>
      </w:r>
      <w:r>
        <w:rPr>
          <w:rFonts w:eastAsia="Symbol" w:cs="Symbol" w:ascii="Symbol" w:hAnsi="Symbol"/>
          <w:b/>
          <w:caps w:val="false"/>
          <w:smallCaps w:val="false"/>
        </w:rPr>
        <w:sym w:font="Symbol" w:char="00a0"/>
      </w:r>
      <w:r>
        <w:rPr>
          <w:rFonts w:ascii="Calibri" w:hAnsi="Calibri"/>
          <w:b/>
        </w:rPr>
        <w:t>Technologia zamiast papieru:</w:t>
      </w:r>
      <w:r>
        <w:rPr/>
        <w:t> </w:t>
      </w:r>
      <w:r>
        <w:rPr>
          <w:rFonts w:ascii="Calibri" w:hAnsi="Calibri"/>
        </w:rPr>
        <w:t>Jak przygotować referat podatkowy na cyfrowe zawiadomienia w formacie GML (obsługa § 13 rozporządzenia) i uniknąć paraliżu urzędu.</w:t>
      </w:r>
    </w:p>
    <w:p>
      <w:pPr>
        <w:pStyle w:val="BodyText"/>
        <w:bidi w:val="0"/>
        <w:ind w:hanging="0" w:start="0" w:end="0"/>
        <w:jc w:val="start"/>
        <w:rPr/>
      </w:pPr>
      <w:r>
        <w:rPr/>
        <w:t> 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Liniapoziomauser">
    <w:name w:val="Linia pozioma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2</Pages>
  <Words>437</Words>
  <Characters>3083</Characters>
  <CharactersWithSpaces>3500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2026-08-23T17:26:13Z</dcterms:created>
  <dc:creator/>
  <dc:description/>
  <dc:language>pl-PL</dc:language>
  <cp:lastModifiedBy/>
  <dcterms:modified xsi:type="dcterms:W3CDTF">2026-08-31T19:59:07Z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