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AI 트렌드 리포트 Round 1 — 오픈클로 초안 | 박수빈 | 2026-04-24 (W2D5)</w:t>
      </w:r>
    </w:p>
    <w:p>
      <w:r>
        <w:rPr>
          <w:color w:val="555555"/>
        </w:rPr>
        <w:t xml:space="preserve">&gt; 버전: Round 1 (멘토 1차 피드백 전) | 작성 도구: 오픈클로 워크플로우 + 박수빈 편집</w:t>
      </w:r>
    </w:p>
    <w:p>
      <w:r>
        <w:t xml:space="preserve"/>
      </w:r>
    </w:p>
    <w:p>
      <w:pPr>
        <w:pStyle w:val="Heading1"/>
      </w:pPr>
      <w:r>
        <w:t xml:space="preserve">개요</w:t>
      </w:r>
    </w:p>
    <w:p>
      <w:r>
        <w:t xml:space="preserve">W2D1~W2D4 리서치에서 수집한 AI 도입 사례를 백엔드·시스템 통합 관점으로 통합합니다. 각 트렌드별 API 아키텍처 연결 가능성, 실서비스 운영 요구사항(SLA·Rate Limit·확장성)을 중심으로 분석합니다.</w:t>
      </w:r>
    </w:p>
    <w:p>
      <w:r>
        <w:t xml:space="preserve"/>
      </w:r>
    </w:p>
    <w:p>
      <w:pPr>
        <w:pStyle w:val="Heading1"/>
      </w:pPr>
      <w:r>
        <w:t xml:space="preserve">1. 2026년 AI 트렌드 핵심 5가지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000"/>
        <w:gridCol w:w="1200"/>
        <w:gridCol w:w="1760"/>
      </w:tblGrid>
      <w:tr>
        <w:trPr>
          <w:tblHeader/>
        </w:trPr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트렌드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백엔드·시스템 통합 관점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공공 관련성</w:t>
            </w:r>
          </w:p>
        </w:tc>
        <w:tc>
          <w:tcPr>
            <w:tcW w:type="dxa" w:w="17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난이도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확산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+ Vector DB(Chroma/Qdrant) 연동, FinBuddy 임베딩 파이프라인과 동일 구조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에이전트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멀티에이전트 Router LLM 패턴 — FinBuddy 아키텍처 그대로 확장 가능, Celery 큐 처리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소형 모델 효율화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엣지 배포 시 AWS Lambda + 경량 모델 조합, DayLine API 게이트웨이 비용 절감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멀티모달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PDF·이미지 파싱 → 구조화된 JSON 출력 API 설계, 민원 문서 처리에 적합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거버넌스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 감사(Audit Log) 테이블 설계 필수, OAuth2 권한 범위에 AI 사용 동의 항목 추가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산업별 AI 도입 성숙도 — 백엔드·API 관점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산업</w:t>
            </w:r>
          </w:p>
        </w:tc>
        <w:tc>
          <w:tcPr>
            <w:tcW w:type="dxa" w:w="1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성숙도</w:t>
            </w:r>
          </w:p>
        </w:tc>
        <w:tc>
          <w:tcPr>
            <w:tcW w:type="dxa" w:w="60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통합 포인트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금융·보험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FDS(이상거래 탐지) API TPS 1,000+ 처리, 기존 코어뱅킹 연동 어댑터 레이어 필수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IT·플랫폼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Gateway 패턴 표준화, 내부 모델 서빙 Triton Inference Server + gRPC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 → Kafka → ML 파이프라인 구조, 배치 처리(Spring Batch)와 병행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HIPAA·개인정보보호법 준수 암호화 레이어, 내부 온프레미스 배포 필수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공공·행정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낮음~중간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 — 행정망 분리 환경에서 외부 LLM API 호출 가능 여부 확인 필요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공공·행정 AI 도입 로드맵 — 시스템 아키텍처 관점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1단계 (현재): 민원 FAQ API 서버 + GPT/Claude API 외부 호출, Rate Limiter로 비용 제어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2단계 (1~2년 내): 내부 RAG 서버(Vector DB + 임베딩) + Spring Boot API Gateway, 행정망 분리 대응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3단계 (3~5년): 자체 Fine-tuned 모델 온프레미스 배포, CI/CD(GitHub Actions) 기반 모델 버전 관리</w:t>
      </w:r>
    </w:p>
    <w:p>
      <w:r>
        <w:t xml:space="preserve"/>
      </w:r>
    </w:p>
    <w:p>
      <w:pPr>
        <w:pStyle w:val="Heading1"/>
      </w:pPr>
      <w:r>
        <w:t xml:space="preserve">4. 미니 PJ 연결 포인트 — 백엔드 구현 관점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공공 VOC 분류 API 서버: Python FastAPI + Claude API Few-shot 분류 엔드포인트, Token Bucket Rate Limiter 내장, 봉공이봇 민원 GPT 프롬프트를 Claude API로 이식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API 비용 추정: Claude API Haiku 기준 1,000 민원 처리 시 약 $0.25, 월 10만 건 기준 $25 — DayLine DAU 1,120명 운영 비용 대비 분석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확장성 설계: Docker 컨테이너화 + AWS ECS Fargate 배포, 트래픽 급증 시 HPA(수평 확장) 설정</w:t>
      </w:r>
    </w:p>
    <w:p>
      <w:r>
        <w:t xml:space="preserve"/>
      </w:r>
    </w:p>
    <w:p>
      <w:pPr>
        <w:pStyle w:val="Heading1"/>
      </w:pPr>
      <w:r>
        <w:t xml:space="preserve">5. 멘토 피드백 요청 항목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 ] 공공 로드맵 2단계 행정망 분리 환경에서 외부 LLM API 호출 가능 여부 — 실제 사례 확인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 ] 미니 PJ API Rate Limiter 전략 (토큰 버킷 vs. 슬라이딩 윈도우) 방향성 조언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 ] FinBuddy 멀티에이전트 패턴을 공공 VOC 분류에 적용할 때 복잡도 증가 가치가 있는지</w:t>
      </w:r>
    </w:p>
    <w:p>
      <w:r>
        <w:t xml:space="preserve"/>
      </w:r>
    </w:p>
    <w:p>
      <w:r>
        <w:rPr>
          <w:color w:val="888888"/>
        </w:rPr>
        <w:t xml:space="preserve">*W2D5 산출물 예시 — 멘토 피드백 후 Round 2로 업데이트합니다.*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W2D5 | 2026-04-24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</w:pPr>
    <w:r>
      <w:rPr>
        <w:rFonts w:ascii="Arial" w:cs="Arial" w:eastAsia="Arial" w:hAnsi="Arial"/>
        <w:color w:val="2E74B5"/>
        <w:sz w:val="18"/>
        <w:szCs w:val="18"/>
      </w:rPr>
      <w:t xml:space="preserve">AI 트렌드 리포트 Round 1 — 오픈클로 초안 | 박수빈 | 2026-04-24 (W2D5)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2026-04-24T07:43:53.094Z</dcterms:created>
  <dcterms:modified xsi:type="dcterms:W3CDTF">2026-04-24T07:43:53.094Z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