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ProAsiste Security FAQ</w:t>
      </w:r>
    </w:p>
    <w:p>
      <w:pPr>
        <w:pStyle w:val="BlockText"/>
      </w:pPr>
      <w:r>
        <w:rPr>
          <w:bCs/>
          <w:b/>
        </w:rPr>
        <w:t xml:space="preserve">HOW TO USE THIS TEMPLATE</w:t>
      </w:r>
      <w:r>
        <w:t xml:space="preserve"> </w:t>
      </w:r>
      <w:r>
        <w:t xml:space="preserve">— 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bCs/>
          <w:b/>
        </w:rPr>
        <w:t xml:space="preserve">Fields in this template:</w:t>
      </w:r>
      <w:r>
        <w:t xml:space="preserve"> </w:t>
      </w:r>
      <w:r>
        <w:rPr>
          <w:rStyle w:val="Placeholder"/>
        </w:rPr>
        <w:t xml:space="preserve">{{Company}}</w:t>
      </w:r>
    </w:p>
    <w:p>
      <w:pPr>
        <w:pStyle w:val="FirstParagraph"/>
      </w:pPr>
      <w:r>
        <w:t xml:space="preserve">Answers to common security questions from prospects.</w:t>
      </w:r>
    </w:p>
    <w:p>
      <w:r>
        <w:pict>
          <v:rect style="width:0;height:1.5pt" o:hralign="center" o:hrstd="t" o:hr="t"/>
        </w:pict>
      </w:r>
    </w:p>
    <w:bookmarkStart w:id="20" w:name="quick-reference"/>
    <w:p>
      <w:pPr>
        <w:pStyle w:val="Heading2"/>
      </w:pPr>
      <w:r>
        <w:t xml:space="preserve">Quick Reference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Infrastructure</w:t>
            </w:r>
          </w:p>
        </w:tc>
        <w:tc>
          <w:tcPr/>
          <w:p>
            <w:pPr>
              <w:pStyle w:val="Compact"/>
              <w:jc w:val="left"/>
            </w:pPr>
            <w:r>
              <w:t xml:space="preserve">Security Level</w:t>
            </w:r>
          </w:p>
        </w:tc>
      </w:tr>
      <w:tr>
        <w:tc>
          <w:tcPr/>
          <w:p>
            <w:pPr>
              <w:pStyle w:val="Compact"/>
              <w:jc w:val="left"/>
            </w:pPr>
            <w:r>
              <w:rPr>
                <w:bCs/>
                <w:b/>
              </w:rPr>
              <w:t xml:space="preserve">SILVER</w:t>
            </w:r>
          </w:p>
        </w:tc>
        <w:tc>
          <w:tcPr/>
          <w:p>
            <w:pPr>
              <w:pStyle w:val="Compact"/>
              <w:jc w:val="left"/>
            </w:pPr>
            <w:r>
              <w:t xml:space="preserve">Google Workspace</w:t>
            </w:r>
          </w:p>
        </w:tc>
        <w:tc>
          <w:tcPr/>
          <w:p>
            <w:pPr>
              <w:pStyle w:val="Compact"/>
              <w:jc w:val="left"/>
            </w:pPr>
            <w:r>
              <w:t xml:space="preserve">Standard business security</w:t>
            </w:r>
          </w:p>
        </w:tc>
      </w:tr>
      <w:tr>
        <w:tc>
          <w:tcPr/>
          <w:p>
            <w:pPr>
              <w:pStyle w:val="Compact"/>
              <w:jc w:val="left"/>
            </w:pPr>
            <w:r>
              <w:rPr>
                <w:bCs/>
                <w:b/>
              </w:rPr>
              <w:t xml:space="preserve">GOLD</w:t>
            </w:r>
          </w:p>
        </w:tc>
        <w:tc>
          <w:tcPr/>
          <w:p>
            <w:pPr>
              <w:pStyle w:val="Compact"/>
              <w:jc w:val="left"/>
            </w:pPr>
            <w:r>
              <w:t xml:space="preserve">Google Workspace</w:t>
            </w:r>
          </w:p>
        </w:tc>
        <w:tc>
          <w:tcPr/>
          <w:p>
            <w:pPr>
              <w:pStyle w:val="Compact"/>
              <w:jc w:val="left"/>
            </w:pPr>
            <w:r>
              <w:t xml:space="preserve">Standard business security</w:t>
            </w:r>
          </w:p>
        </w:tc>
      </w:tr>
      <w:tr>
        <w:tc>
          <w:tcPr/>
          <w:p>
            <w:pPr>
              <w:pStyle w:val="Compact"/>
              <w:jc w:val="left"/>
            </w:pPr>
            <w:r>
              <w:rPr>
                <w:bCs/>
                <w:b/>
              </w:rPr>
              <w:t xml:space="preserve">PLATINUM</w:t>
            </w:r>
          </w:p>
        </w:tc>
        <w:tc>
          <w:tcPr/>
          <w:p>
            <w:pPr>
              <w:pStyle w:val="Compact"/>
              <w:jc w:val="left"/>
            </w:pPr>
            <w:r>
              <w:t xml:space="preserve">Google Cloud</w:t>
            </w:r>
          </w:p>
        </w:tc>
        <w:tc>
          <w:tcPr/>
          <w:p>
            <w:pPr>
              <w:pStyle w:val="Compact"/>
              <w:jc w:val="left"/>
            </w:pPr>
            <w:r>
              <w:t xml:space="preserve">Enhanced cloud security</w:t>
            </w:r>
          </w:p>
        </w:tc>
      </w:tr>
      <w:tr>
        <w:tc>
          <w:tcPr/>
          <w:p>
            <w:pPr>
              <w:pStyle w:val="Compact"/>
              <w:jc w:val="left"/>
            </w:pPr>
            <w:r>
              <w:rPr>
                <w:bCs/>
                <w:b/>
              </w:rPr>
              <w:t xml:space="preserve">DIAMOND</w:t>
            </w:r>
          </w:p>
        </w:tc>
        <w:tc>
          <w:tcPr/>
          <w:p>
            <w:pPr>
              <w:pStyle w:val="Compact"/>
              <w:jc w:val="left"/>
            </w:pPr>
            <w:r>
              <w:t xml:space="preserve">Google Cloud</w:t>
            </w:r>
          </w:p>
        </w:tc>
        <w:tc>
          <w:tcPr/>
          <w:p>
            <w:pPr>
              <w:pStyle w:val="Compact"/>
              <w:jc w:val="left"/>
            </w:pPr>
            <w:r>
              <w:t xml:space="preserve">Enhanced cloud security</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Compliance Need</w:t>
            </w:r>
          </w:p>
        </w:tc>
        <w:tc>
          <w:tcPr/>
          <w:p>
            <w:pPr>
              <w:pStyle w:val="Compact"/>
              <w:jc w:val="left"/>
            </w:pPr>
            <w:r>
              <w:t xml:space="preserve">Solution</w:t>
            </w:r>
          </w:p>
        </w:tc>
        <w:tc>
          <w:tcPr/>
          <w:p>
            <w:pPr>
              <w:pStyle w:val="Compact"/>
              <w:jc w:val="left"/>
            </w:pPr>
            <w:r>
              <w:t xml:space="preserve">Provider</w:t>
            </w:r>
          </w:p>
        </w:tc>
      </w:tr>
      <w:tr>
        <w:tc>
          <w:tcPr/>
          <w:p>
            <w:pPr>
              <w:pStyle w:val="Compact"/>
              <w:jc w:val="left"/>
            </w:pPr>
            <w:r>
              <w:t xml:space="preserve">GDPR compliance</w:t>
            </w:r>
          </w:p>
        </w:tc>
        <w:tc>
          <w:tcPr/>
          <w:p>
            <w:pPr>
              <w:pStyle w:val="Compact"/>
              <w:jc w:val="left"/>
            </w:pPr>
            <w:r>
              <w:t xml:space="preserve">KloudStax partnership</w:t>
            </w:r>
          </w:p>
        </w:tc>
        <w:tc>
          <w:tcPr/>
          <w:p>
            <w:pPr>
              <w:pStyle w:val="Compact"/>
              <w:jc w:val="left"/>
            </w:pPr>
            <w:r>
              <w:t xml:space="preserve">KloudStax (separate contract)</w:t>
            </w:r>
          </w:p>
        </w:tc>
      </w:tr>
      <w:tr>
        <w:tc>
          <w:tcPr/>
          <w:p>
            <w:pPr>
              <w:pStyle w:val="Compact"/>
              <w:jc w:val="left"/>
            </w:pPr>
            <w:r>
              <w:t xml:space="preserve">HIPAA compliance</w:t>
            </w:r>
          </w:p>
        </w:tc>
        <w:tc>
          <w:tcPr/>
          <w:p>
            <w:pPr>
              <w:pStyle w:val="Compact"/>
              <w:jc w:val="left"/>
            </w:pPr>
            <w:r>
              <w:t xml:space="preserve">KloudStax partnership</w:t>
            </w:r>
          </w:p>
        </w:tc>
        <w:tc>
          <w:tcPr/>
          <w:p>
            <w:pPr>
              <w:pStyle w:val="Compact"/>
              <w:jc w:val="left"/>
            </w:pPr>
            <w:r>
              <w:t xml:space="preserve">KloudStax (separate contract)</w:t>
            </w:r>
          </w:p>
        </w:tc>
      </w:tr>
      <w:tr>
        <w:tc>
          <w:tcPr/>
          <w:p>
            <w:pPr>
              <w:pStyle w:val="Compact"/>
              <w:jc w:val="left"/>
            </w:pPr>
            <w:r>
              <w:t xml:space="preserve">SOC 2 compliance</w:t>
            </w:r>
          </w:p>
        </w:tc>
        <w:tc>
          <w:tcPr/>
          <w:p>
            <w:pPr>
              <w:pStyle w:val="Compact"/>
              <w:jc w:val="left"/>
            </w:pPr>
            <w:r>
              <w:t xml:space="preserve">KloudStax partnership</w:t>
            </w:r>
          </w:p>
        </w:tc>
        <w:tc>
          <w:tcPr/>
          <w:p>
            <w:pPr>
              <w:pStyle w:val="Compact"/>
              <w:jc w:val="left"/>
            </w:pPr>
            <w:r>
              <w:t xml:space="preserve">KloudStax (separate contract)</w:t>
            </w:r>
          </w:p>
        </w:tc>
      </w:tr>
      <w:tr>
        <w:tc>
          <w:tcPr/>
          <w:p>
            <w:pPr>
              <w:pStyle w:val="Compact"/>
              <w:jc w:val="left"/>
            </w:pPr>
            <w:r>
              <w:t xml:space="preserve">Role-based access (IAM)</w:t>
            </w:r>
          </w:p>
        </w:tc>
        <w:tc>
          <w:tcPr/>
          <w:p>
            <w:pPr>
              <w:pStyle w:val="Compact"/>
              <w:jc w:val="left"/>
            </w:pPr>
            <w:r>
              <w:t xml:space="preserve">KloudStax partnership</w:t>
            </w:r>
          </w:p>
        </w:tc>
        <w:tc>
          <w:tcPr/>
          <w:p>
            <w:pPr>
              <w:pStyle w:val="Compact"/>
              <w:jc w:val="left"/>
            </w:pPr>
            <w:r>
              <w:t xml:space="preserve">KloudStax (separate contract)</w:t>
            </w:r>
          </w:p>
        </w:tc>
      </w:tr>
    </w:tbl>
    <w:p>
      <w:r>
        <w:pict>
          <v:rect style="width:0;height:1.5pt" o:hralign="center" o:hrstd="t" o:hr="t"/>
        </w:pict>
      </w:r>
    </w:p>
    <w:bookmarkEnd w:id="20"/>
    <w:bookmarkStart w:id="26" w:name="standard-security-included-by-tier"/>
    <w:p>
      <w:pPr>
        <w:pStyle w:val="Heading2"/>
      </w:pPr>
      <w:r>
        <w:t xml:space="preserve">Standard Security (Included by Tier)</w:t>
      </w:r>
    </w:p>
    <w:bookmarkStart w:id="21" w:name="X54b5ba5d1bde81f28be9740871a0116e7a1f0fc"/>
    <w:p>
      <w:pPr>
        <w:pStyle w:val="Heading3"/>
      </w:pPr>
      <w:r>
        <w:t xml:space="preserve">SILVER &amp; GOLD Tiers: Google Workspace Security</w:t>
      </w:r>
    </w:p>
    <w:p>
      <w:pPr>
        <w:pStyle w:val="BlockText"/>
      </w:pPr>
      <w:r>
        <w:t xml:space="preserve">"SILVER and GOLD tiers leverage Google Workspace for data storage and security. Your data benefits from the same enterprise-grade security that protects millions of Google Workspace users worldwide - the same infrastructure behind Gmail, Google Drive, and Google Docs."</w:t>
      </w:r>
    </w:p>
    <w:p>
      <w:pPr>
        <w:pStyle w:val="FirstParagraph"/>
      </w:pPr>
      <w:r>
        <w:rPr>
          <w:bCs/>
          <w:b/>
        </w:rPr>
        <w:t xml:space="preserve">What's Included:</w:t>
      </w:r>
    </w:p>
    <w:p>
      <w:pPr>
        <w:numPr>
          <w:ilvl w:val="0"/>
          <w:numId w:val="1001"/>
        </w:numPr>
        <w:pStyle w:val="Compact"/>
      </w:pPr>
      <w:r>
        <w:rPr>
          <w:bCs/>
          <w:b/>
        </w:rPr>
        <w:t xml:space="preserve">Encryption in transit</w:t>
      </w:r>
      <w:r>
        <w:t xml:space="preserve">: TLS 1.3 for all data transmission</w:t>
      </w:r>
    </w:p>
    <w:p>
      <w:pPr>
        <w:numPr>
          <w:ilvl w:val="0"/>
          <w:numId w:val="1001"/>
        </w:numPr>
        <w:pStyle w:val="Compact"/>
      </w:pPr>
      <w:r>
        <w:rPr>
          <w:bCs/>
          <w:b/>
        </w:rPr>
        <w:t xml:space="preserve">Encryption at rest</w:t>
      </w:r>
      <w:r>
        <w:t xml:space="preserve">: AES-256 encryption for stored data</w:t>
      </w:r>
    </w:p>
    <w:p>
      <w:pPr>
        <w:numPr>
          <w:ilvl w:val="0"/>
          <w:numId w:val="1001"/>
        </w:numPr>
        <w:pStyle w:val="Compact"/>
      </w:pPr>
      <w:r>
        <w:rPr>
          <w:bCs/>
          <w:b/>
        </w:rPr>
        <w:t xml:space="preserve">Google Workspace infrastructure</w:t>
      </w:r>
      <w:r>
        <w:t xml:space="preserve">: Proven, trusted platform</w:t>
      </w:r>
    </w:p>
    <w:p>
      <w:pPr>
        <w:numPr>
          <w:ilvl w:val="0"/>
          <w:numId w:val="1001"/>
        </w:numPr>
        <w:pStyle w:val="Compact"/>
      </w:pPr>
      <w:r>
        <w:rPr>
          <w:bCs/>
          <w:b/>
        </w:rPr>
        <w:t xml:space="preserve">Data isolation</w:t>
      </w:r>
      <w:r>
        <w:t xml:space="preserve">: Your twin's data is separate from other customers</w:t>
      </w:r>
    </w:p>
    <w:p>
      <w:pPr>
        <w:numPr>
          <w:ilvl w:val="0"/>
          <w:numId w:val="1001"/>
        </w:numPr>
        <w:pStyle w:val="Compact"/>
      </w:pPr>
      <w:r>
        <w:rPr>
          <w:bCs/>
          <w:b/>
        </w:rPr>
        <w:t xml:space="preserve">Access control</w:t>
      </w:r>
      <w:r>
        <w:t xml:space="preserve">: Token-based authentication</w:t>
      </w:r>
    </w:p>
    <w:p>
      <w:pPr>
        <w:numPr>
          <w:ilvl w:val="0"/>
          <w:numId w:val="1001"/>
        </w:numPr>
        <w:pStyle w:val="Compact"/>
      </w:pPr>
      <w:r>
        <w:rPr>
          <w:bCs/>
          <w:b/>
        </w:rPr>
        <w:t xml:space="preserve">Automatic backups</w:t>
      </w:r>
      <w:r>
        <w:t xml:space="preserve">: Google's redundant storage systems</w:t>
      </w:r>
    </w:p>
    <w:p>
      <w:pPr>
        <w:pStyle w:val="FirstParagraph"/>
      </w:pPr>
      <w:r>
        <w:rPr>
          <w:bCs/>
          <w:b/>
        </w:rPr>
        <w:t xml:space="preserve">Best For:</w:t>
      </w:r>
    </w:p>
    <w:p>
      <w:pPr>
        <w:numPr>
          <w:ilvl w:val="0"/>
          <w:numId w:val="1002"/>
        </w:numPr>
        <w:pStyle w:val="Compact"/>
      </w:pPr>
      <w:r>
        <w:t xml:space="preserve">Individual professionals</w:t>
      </w:r>
    </w:p>
    <w:p>
      <w:pPr>
        <w:numPr>
          <w:ilvl w:val="0"/>
          <w:numId w:val="1002"/>
        </w:numPr>
        <w:pStyle w:val="Compact"/>
      </w:pPr>
      <w:r>
        <w:t xml:space="preserve">Small businesses</w:t>
      </w:r>
    </w:p>
    <w:p>
      <w:pPr>
        <w:numPr>
          <w:ilvl w:val="0"/>
          <w:numId w:val="1002"/>
        </w:numPr>
        <w:pStyle w:val="Compact"/>
      </w:pPr>
      <w:r>
        <w:t xml:space="preserve">Teams without specific compliance requirements</w:t>
      </w:r>
    </w:p>
    <w:p>
      <w:pPr>
        <w:numPr>
          <w:ilvl w:val="0"/>
          <w:numId w:val="1002"/>
        </w:numPr>
        <w:pStyle w:val="Compact"/>
      </w:pPr>
      <w:r>
        <w:t xml:space="preserve">Companies already using Google Workspace</w:t>
      </w:r>
    </w:p>
    <w:p>
      <w:r>
        <w:pict>
          <v:rect style="width:0;height:1.5pt" o:hralign="center" o:hrstd="t" o:hr="t"/>
        </w:pict>
      </w:r>
    </w:p>
    <w:bookmarkEnd w:id="21"/>
    <w:bookmarkStart w:id="22" w:name="X57df7a86d62edba931b30b2b86216cec6910fc5"/>
    <w:p>
      <w:pPr>
        <w:pStyle w:val="Heading3"/>
      </w:pPr>
      <w:r>
        <w:t xml:space="preserve">PLATINUM &amp; DIAMOND Tiers: Google Cloud Security</w:t>
      </w:r>
    </w:p>
    <w:p>
      <w:pPr>
        <w:pStyle w:val="BlockText"/>
      </w:pPr>
      <w:r>
        <w:t xml:space="preserve">"PLATINUM and DIAMOND tiers leverage Google Cloud Platform for enhanced security capabilities. This provides additional controls, better scalability, and more sophisticated infrastructure options."</w:t>
      </w:r>
    </w:p>
    <w:p>
      <w:pPr>
        <w:pStyle w:val="FirstParagraph"/>
      </w:pPr>
      <w:r>
        <w:rPr>
          <w:bCs/>
          <w:b/>
        </w:rPr>
        <w:t xml:space="preserve">What's Included (in addition to standard):</w:t>
      </w:r>
    </w:p>
    <w:p>
      <w:pPr>
        <w:numPr>
          <w:ilvl w:val="0"/>
          <w:numId w:val="1003"/>
        </w:numPr>
        <w:pStyle w:val="Compact"/>
      </w:pPr>
      <w:r>
        <w:rPr>
          <w:bCs/>
          <w:b/>
        </w:rPr>
        <w:t xml:space="preserve">Google Cloud Platform infrastructure</w:t>
      </w:r>
      <w:r>
        <w:t xml:space="preserve">: Enterprise-grade cloud</w:t>
      </w:r>
    </w:p>
    <w:p>
      <w:pPr>
        <w:numPr>
          <w:ilvl w:val="0"/>
          <w:numId w:val="1003"/>
        </w:numPr>
        <w:pStyle w:val="Compact"/>
      </w:pPr>
      <w:r>
        <w:rPr>
          <w:bCs/>
          <w:b/>
        </w:rPr>
        <w:t xml:space="preserve">Enhanced monitoring</w:t>
      </w:r>
      <w:r>
        <w:t xml:space="preserve">: Cloud-native security monitoring</w:t>
      </w:r>
    </w:p>
    <w:p>
      <w:pPr>
        <w:numPr>
          <w:ilvl w:val="0"/>
          <w:numId w:val="1003"/>
        </w:numPr>
        <w:pStyle w:val="Compact"/>
      </w:pPr>
      <w:r>
        <w:rPr>
          <w:bCs/>
          <w:b/>
        </w:rPr>
        <w:t xml:space="preserve">Scalability</w:t>
      </w:r>
      <w:r>
        <w:t xml:space="preserve">: Enterprise-level performance</w:t>
      </w:r>
    </w:p>
    <w:p>
      <w:pPr>
        <w:numPr>
          <w:ilvl w:val="0"/>
          <w:numId w:val="1003"/>
        </w:numPr>
        <w:pStyle w:val="Compact"/>
      </w:pPr>
      <w:r>
        <w:rPr>
          <w:bCs/>
          <w:b/>
        </w:rPr>
        <w:t xml:space="preserve">Advanced networking</w:t>
      </w:r>
      <w:r>
        <w:t xml:space="preserve">: VPC, private connectivity options</w:t>
      </w:r>
    </w:p>
    <w:p>
      <w:pPr>
        <w:numPr>
          <w:ilvl w:val="0"/>
          <w:numId w:val="1003"/>
        </w:numPr>
        <w:pStyle w:val="Compact"/>
      </w:pPr>
      <w:r>
        <w:rPr>
          <w:bCs/>
          <w:b/>
        </w:rPr>
        <w:t xml:space="preserve">Dedicated resources</w:t>
      </w:r>
      <w:r>
        <w:t xml:space="preserve">: Isolated compute and storage</w:t>
      </w:r>
    </w:p>
    <w:p>
      <w:pPr>
        <w:pStyle w:val="FirstParagraph"/>
      </w:pPr>
      <w:r>
        <w:rPr>
          <w:bCs/>
          <w:b/>
        </w:rPr>
        <w:t xml:space="preserve">Best For:</w:t>
      </w:r>
    </w:p>
    <w:p>
      <w:pPr>
        <w:numPr>
          <w:ilvl w:val="0"/>
          <w:numId w:val="1004"/>
        </w:numPr>
        <w:pStyle w:val="Compact"/>
      </w:pPr>
      <w:r>
        <w:t xml:space="preserve">Larger teams and departments</w:t>
      </w:r>
    </w:p>
    <w:p>
      <w:pPr>
        <w:numPr>
          <w:ilvl w:val="0"/>
          <w:numId w:val="1004"/>
        </w:numPr>
        <w:pStyle w:val="Compact"/>
      </w:pPr>
      <w:r>
        <w:t xml:space="preserve">Organizations with heavier data processing needs</w:t>
      </w:r>
    </w:p>
    <w:p>
      <w:pPr>
        <w:numPr>
          <w:ilvl w:val="0"/>
          <w:numId w:val="1004"/>
        </w:numPr>
        <w:pStyle w:val="Compact"/>
      </w:pPr>
      <w:r>
        <w:t xml:space="preserve">Companies requiring enhanced cloud capabilities</w:t>
      </w:r>
    </w:p>
    <w:p>
      <w:pPr>
        <w:numPr>
          <w:ilvl w:val="0"/>
          <w:numId w:val="1004"/>
        </w:numPr>
        <w:pStyle w:val="Compact"/>
      </w:pPr>
      <w:r>
        <w:t xml:space="preserve">Businesses planning significant scale</w:t>
      </w:r>
    </w:p>
    <w:bookmarkEnd w:id="22"/>
    <w:bookmarkStart w:id="23" w:name="where-is-our-data-stored"/>
    <w:p>
      <w:pPr>
        <w:pStyle w:val="Heading3"/>
      </w:pPr>
      <w:r>
        <w:t xml:space="preserve">"Where is our data stored?"</w:t>
      </w:r>
    </w:p>
    <w:p>
      <w:pPr>
        <w:pStyle w:val="BlockText"/>
      </w:pPr>
      <w:r>
        <w:t xml:space="preserve">"Your data is stored on Google's infrastructure through Google Workspace. Google operates data centers worldwide with industry-leading physical and digital security. Your data never leaves Google's secure environment."</w:t>
      </w:r>
    </w:p>
    <w:bookmarkEnd w:id="23"/>
    <w:bookmarkStart w:id="24" w:name="can-you-access-our-data"/>
    <w:p>
      <w:pPr>
        <w:pStyle w:val="Heading3"/>
      </w:pPr>
      <w:r>
        <w:t xml:space="preserve">"Can you access our data?"</w:t>
      </w:r>
    </w:p>
    <w:p>
      <w:pPr>
        <w:pStyle w:val="BlockText"/>
      </w:pPr>
      <w:r>
        <w:t xml:space="preserve">"We can access your data only for technical support purposes when you request assistance. We do not routinely access, review, or analyze customer data. Your data is never used to train AI models or shared with other customers."</w:t>
      </w:r>
    </w:p>
    <w:bookmarkEnd w:id="24"/>
    <w:bookmarkStart w:id="25" w:name="what-happens-if-we-cancel"/>
    <w:p>
      <w:pPr>
        <w:pStyle w:val="Heading3"/>
      </w:pPr>
      <w:r>
        <w:t xml:space="preserve">"What happens if we cancel?"</w:t>
      </w:r>
    </w:p>
    <w:p>
      <w:pPr>
        <w:pStyle w:val="BlockText"/>
      </w:pPr>
      <w:r>
        <w:t xml:space="preserve">"You own your data. You can export everything at any time in standard formats (JSON, Markdown, CSV). When you cancel, we delete your data from our systems within 30 days. You retain any exports you've made."</w:t>
      </w:r>
    </w:p>
    <w:p>
      <w:r>
        <w:pict>
          <v:rect style="width:0;height:1.5pt" o:hralign="center" o:hrstd="t" o:hr="t"/>
        </w:pict>
      </w:r>
    </w:p>
    <w:bookmarkEnd w:id="25"/>
    <w:bookmarkEnd w:id="26"/>
    <w:bookmarkStart w:id="30" w:name="X2b9271a030664ec4b565912e14a2eae78babddc"/>
    <w:p>
      <w:pPr>
        <w:pStyle w:val="Heading2"/>
      </w:pPr>
      <w:r>
        <w:t xml:space="preserve">Enterprise Security (KloudStax Partnership)</w:t>
      </w:r>
    </w:p>
    <w:bookmarkStart w:id="27" w:name="we-need-gdprhipaasoc-2-compliance"/>
    <w:p>
      <w:pPr>
        <w:pStyle w:val="Heading3"/>
      </w:pPr>
      <w:r>
        <w:t xml:space="preserve">"We need GDPR/HIPAA/SOC 2 compliance"</w:t>
      </w:r>
    </w:p>
    <w:p>
      <w:pPr>
        <w:pStyle w:val="BlockText"/>
      </w:pPr>
      <w:r>
        <w:t xml:space="preserve">"We understand that enterprises and regulated industries have specific compliance requirements. For GDPR, HIPAA, SOC 2, and similar compliance needs, we've partnered with KloudStax. They specialize in enterprise security and compliance - it's their core expertise, not ours. They can provide the documentation, controls, and auditing your compliance team needs."</w:t>
      </w:r>
    </w:p>
    <w:p>
      <w:pPr>
        <w:pStyle w:val="FirstParagraph"/>
      </w:pPr>
      <w:r>
        <w:rPr>
          <w:bCs/>
          <w:b/>
        </w:rPr>
        <w:t xml:space="preserve">What KloudStax Provides:</w:t>
      </w:r>
    </w:p>
    <w:p>
      <w:pPr>
        <w:numPr>
          <w:ilvl w:val="0"/>
          <w:numId w:val="1005"/>
        </w:numPr>
        <w:pStyle w:val="Compact"/>
      </w:pPr>
      <w:r>
        <w:rPr>
          <w:bCs/>
          <w:b/>
        </w:rPr>
        <w:t xml:space="preserve">GDPR compliance</w:t>
      </w:r>
      <w:r>
        <w:t xml:space="preserve">: Data processing agreements, EU data residency, right to erasure</w:t>
      </w:r>
    </w:p>
    <w:p>
      <w:pPr>
        <w:numPr>
          <w:ilvl w:val="0"/>
          <w:numId w:val="1005"/>
        </w:numPr>
        <w:pStyle w:val="Compact"/>
      </w:pPr>
      <w:r>
        <w:rPr>
          <w:bCs/>
          <w:b/>
        </w:rPr>
        <w:t xml:space="preserve">HIPAA compliance</w:t>
      </w:r>
      <w:r>
        <w:t xml:space="preserve">: BAA agreements, PHI handling, audit controls</w:t>
      </w:r>
    </w:p>
    <w:p>
      <w:pPr>
        <w:numPr>
          <w:ilvl w:val="0"/>
          <w:numId w:val="1005"/>
        </w:numPr>
        <w:pStyle w:val="Compact"/>
      </w:pPr>
      <w:r>
        <w:rPr>
          <w:bCs/>
          <w:b/>
        </w:rPr>
        <w:t xml:space="preserve">SOC 2 Type II</w:t>
      </w:r>
      <w:r>
        <w:t xml:space="preserve">: Formal auditing, compliance reports, control frameworks</w:t>
      </w:r>
    </w:p>
    <w:p>
      <w:pPr>
        <w:numPr>
          <w:ilvl w:val="0"/>
          <w:numId w:val="1005"/>
        </w:numPr>
        <w:pStyle w:val="Compact"/>
      </w:pPr>
      <w:r>
        <w:rPr>
          <w:bCs/>
          <w:b/>
        </w:rPr>
        <w:t xml:space="preserve">Role-based access control</w:t>
      </w:r>
      <w:r>
        <w:t xml:space="preserve">: Google IAM integration, granular permissions</w:t>
      </w:r>
    </w:p>
    <w:p>
      <w:pPr>
        <w:numPr>
          <w:ilvl w:val="0"/>
          <w:numId w:val="1005"/>
        </w:numPr>
        <w:pStyle w:val="Compact"/>
      </w:pPr>
      <w:r>
        <w:rPr>
          <w:bCs/>
          <w:b/>
        </w:rPr>
        <w:t xml:space="preserve">Advanced audit logging</w:t>
      </w:r>
      <w:r>
        <w:t xml:space="preserve">: Detailed access logs, compliance reporting</w:t>
      </w:r>
    </w:p>
    <w:p>
      <w:pPr>
        <w:numPr>
          <w:ilvl w:val="0"/>
          <w:numId w:val="1005"/>
        </w:numPr>
        <w:pStyle w:val="Compact"/>
      </w:pPr>
      <w:r>
        <w:rPr>
          <w:bCs/>
          <w:b/>
        </w:rPr>
        <w:t xml:space="preserve">Dedicated environments</w:t>
      </w:r>
      <w:r>
        <w:t xml:space="preserve">: Isolated infrastructure for regulated data</w:t>
      </w:r>
    </w:p>
    <w:p>
      <w:pPr>
        <w:pStyle w:val="FirstParagraph"/>
      </w:pPr>
      <w:r>
        <w:rPr>
          <w:bCs/>
          <w:b/>
        </w:rPr>
        <w:t xml:space="preserve">How It Works:</w:t>
      </w:r>
    </w:p>
    <w:p>
      <w:pPr>
        <w:numPr>
          <w:ilvl w:val="0"/>
          <w:numId w:val="1006"/>
        </w:numPr>
        <w:pStyle w:val="Compact"/>
      </w:pPr>
      <w:r>
        <w:t xml:space="preserve">Tell us your security/compliance requirements</w:t>
      </w:r>
    </w:p>
    <w:p>
      <w:pPr>
        <w:numPr>
          <w:ilvl w:val="0"/>
          <w:numId w:val="1006"/>
        </w:numPr>
        <w:pStyle w:val="Compact"/>
      </w:pPr>
      <w:r>
        <w:t xml:space="preserve">We work with KloudStax to create a quick-turn proposal</w:t>
      </w:r>
    </w:p>
    <w:p>
      <w:pPr>
        <w:numPr>
          <w:ilvl w:val="0"/>
          <w:numId w:val="1006"/>
        </w:numPr>
        <w:pStyle w:val="Compact"/>
      </w:pPr>
      <w:r>
        <w:t xml:space="preserve">You receive an addendum to your ProAsiste contract covering the additional services</w:t>
      </w:r>
    </w:p>
    <w:p>
      <w:pPr>
        <w:numPr>
          <w:ilvl w:val="0"/>
          <w:numId w:val="1006"/>
        </w:numPr>
        <w:pStyle w:val="Compact"/>
      </w:pPr>
      <w:r>
        <w:t xml:space="preserve">KloudStax provisions and manages your compliant environment</w:t>
      </w:r>
    </w:p>
    <w:p>
      <w:pPr>
        <w:numPr>
          <w:ilvl w:val="0"/>
          <w:numId w:val="1006"/>
        </w:numPr>
        <w:pStyle w:val="Compact"/>
      </w:pPr>
      <w:r>
        <w:t xml:space="preserve">ProAsiste runs on that KloudStax-managed infrastructure</w:t>
      </w:r>
    </w:p>
    <w:p>
      <w:pPr>
        <w:pStyle w:val="FirstParagraph"/>
      </w:pPr>
      <w:r>
        <w:rPr>
          <w:bCs/>
          <w:b/>
        </w:rPr>
        <w:t xml:space="preserve">Pricing:</w:t>
      </w:r>
    </w:p>
    <w:p>
      <w:pPr>
        <w:numPr>
          <w:ilvl w:val="0"/>
          <w:numId w:val="1007"/>
        </w:numPr>
        <w:pStyle w:val="Compact"/>
      </w:pPr>
      <w:r>
        <w:t xml:space="preserve">KloudStax services are added as a contract addendum</w:t>
      </w:r>
    </w:p>
    <w:p>
      <w:pPr>
        <w:numPr>
          <w:ilvl w:val="0"/>
          <w:numId w:val="1007"/>
        </w:numPr>
        <w:pStyle w:val="Compact"/>
      </w:pPr>
      <w:r>
        <w:t xml:space="preserve">Pricing based on your specific requirements</w:t>
      </w:r>
    </w:p>
    <w:p>
      <w:pPr>
        <w:numPr>
          <w:ilvl w:val="0"/>
          <w:numId w:val="1007"/>
        </w:numPr>
        <w:pStyle w:val="Compact"/>
      </w:pPr>
      <w:r>
        <w:t xml:space="preserve">Quick turnaround - no lengthy separate procurement process</w:t>
      </w:r>
    </w:p>
    <w:bookmarkEnd w:id="27"/>
    <w:bookmarkStart w:id="28" w:name="why-dont-you-handle-compliance-directly"/>
    <w:p>
      <w:pPr>
        <w:pStyle w:val="Heading3"/>
      </w:pPr>
      <w:r>
        <w:t xml:space="preserve">"Why don't you handle compliance directly?"</w:t>
      </w:r>
    </w:p>
    <w:p>
      <w:pPr>
        <w:pStyle w:val="BlockText"/>
      </w:pPr>
      <w:r>
        <w:t xml:space="preserve">"We believe in doing what we do best. Our expertise is AI-powered knowledge management - building the best possible twin for your business. Enterprise compliance requires specialized expertise, dedicated resources, and ongoing certification maintenance. Rather than do that poorly ourselves, we've partnered with KloudStax, who does it excellently. This way, you get best-in-class AI AND best-in-class security."</w:t>
      </w:r>
    </w:p>
    <w:bookmarkEnd w:id="28"/>
    <w:bookmarkStart w:id="29" w:name="can-we-talk-to-kloudstax"/>
    <w:p>
      <w:pPr>
        <w:pStyle w:val="Heading3"/>
      </w:pPr>
      <w:r>
        <w:t xml:space="preserve">"Can we talk to KloudStax?"</w:t>
      </w:r>
    </w:p>
    <w:p>
      <w:pPr>
        <w:pStyle w:val="BlockText"/>
      </w:pPr>
      <w:r>
        <w:t xml:space="preserve">"Absolutely. We've partnered with KloudStax to create a quick-turn proposal process. We can get you an addendum to your ProAsiste contract that meets any additional security or infrastructure needs your company may have. It's streamlined - no lengthy separate procurement process."</w:t>
      </w:r>
    </w:p>
    <w:p>
      <w:r>
        <w:pict>
          <v:rect style="width:0;height:1.5pt" o:hralign="center" o:hrstd="t" o:hr="t"/>
        </w:pict>
      </w:r>
    </w:p>
    <w:bookmarkEnd w:id="29"/>
    <w:bookmarkEnd w:id="30"/>
    <w:bookmarkStart w:id="36" w:name="common-security-questions"/>
    <w:p>
      <w:pPr>
        <w:pStyle w:val="Heading2"/>
      </w:pPr>
      <w:r>
        <w:t xml:space="preserve">Common Security Questions</w:t>
      </w:r>
    </w:p>
    <w:bookmarkStart w:id="31" w:name="do-you-train-ai-models-on-our-data"/>
    <w:p>
      <w:pPr>
        <w:pStyle w:val="Heading3"/>
      </w:pPr>
      <w:r>
        <w:t xml:space="preserve">"Do you train AI models on our data?"</w:t>
      </w:r>
    </w:p>
    <w:p>
      <w:pPr>
        <w:pStyle w:val="BlockText"/>
      </w:pPr>
      <w:r>
        <w:t xml:space="preserve">"No. Your data is never used to train public AI models. Your ProAsiste learns from YOUR data to serve YOU - that knowledge stays within your twin and is never shared externally."</w:t>
      </w:r>
    </w:p>
    <w:bookmarkEnd w:id="31"/>
    <w:bookmarkStart w:id="32" w:name="what-about-the-ai-provider-claudeopenai"/>
    <w:p>
      <w:pPr>
        <w:pStyle w:val="Heading3"/>
      </w:pPr>
      <w:r>
        <w:t xml:space="preserve">"What about the AI provider (Claude/OpenAI)?"</w:t>
      </w:r>
    </w:p>
    <w:p>
      <w:pPr>
        <w:pStyle w:val="BlockText"/>
      </w:pPr>
      <w:r>
        <w:t xml:space="preserve">"When your ProAsiste processes queries, it sends prompts to the AI provider (Anthropic's Claude). However:</w:t>
      </w:r>
    </w:p>
    <w:p>
      <w:pPr>
        <w:numPr>
          <w:ilvl w:val="0"/>
          <w:numId w:val="1008"/>
        </w:numPr>
        <w:pStyle w:val="Compact"/>
      </w:pPr>
      <w:r>
        <w:t xml:space="preserve">Only the current conversation context is sent, not your entire knowledge base</w:t>
      </w:r>
    </w:p>
    <w:p>
      <w:pPr>
        <w:numPr>
          <w:ilvl w:val="0"/>
          <w:numId w:val="1008"/>
        </w:numPr>
        <w:pStyle w:val="Compact"/>
      </w:pPr>
      <w:r>
        <w:t xml:space="preserve">Anthropic does not train on API data (per their data usage policy)</w:t>
      </w:r>
    </w:p>
    <w:p>
      <w:pPr>
        <w:numPr>
          <w:ilvl w:val="0"/>
          <w:numId w:val="1008"/>
        </w:numPr>
        <w:pStyle w:val="Compact"/>
      </w:pPr>
      <w:r>
        <w:t xml:space="preserve">We use enterprise API tiers with additional data protections</w:t>
      </w:r>
    </w:p>
    <w:p>
      <w:pPr>
        <w:numPr>
          <w:ilvl w:val="0"/>
          <w:numId w:val="1008"/>
        </w:numPr>
        <w:pStyle w:val="Compact"/>
      </w:pPr>
      <w:r>
        <w:t xml:space="preserve">For maximum security needs, KloudStax can configure dedicated/private AI endpoints"</w:t>
      </w:r>
    </w:p>
    <w:bookmarkEnd w:id="32"/>
    <w:bookmarkStart w:id="33" w:name="what-if-theres-a-data-breach"/>
    <w:p>
      <w:pPr>
        <w:pStyle w:val="Heading3"/>
      </w:pPr>
      <w:r>
        <w:t xml:space="preserve">"What if there's a data breach?"</w:t>
      </w:r>
    </w:p>
    <w:p>
      <w:pPr>
        <w:pStyle w:val="FirstParagraph"/>
      </w:pPr>
      <w:r>
        <w:rPr>
          <w:bCs/>
          <w:b/>
        </w:rPr>
        <w:t xml:space="preserve">Standard (Google Workspace):</w:t>
      </w:r>
    </w:p>
    <w:p>
      <w:pPr>
        <w:pStyle w:val="BlockText"/>
      </w:pPr>
      <w:r>
        <w:t xml:space="preserve">"Google has industry-leading breach detection and response. In the unlikely event of a breach affecting your data, you would be notified according to Google's policies and any applicable laws."</w:t>
      </w:r>
    </w:p>
    <w:p>
      <w:pPr>
        <w:pStyle w:val="FirstParagraph"/>
      </w:pPr>
      <w:r>
        <w:rPr>
          <w:bCs/>
          <w:b/>
        </w:rPr>
        <w:t xml:space="preserve">Enterprise (KloudStax):</w:t>
      </w:r>
    </w:p>
    <w:p>
      <w:pPr>
        <w:pStyle w:val="BlockText"/>
      </w:pPr>
      <w:r>
        <w:t xml:space="preserve">"KloudStax provides formal incident response procedures, breach notification SLAs, and compliance with specific regulatory requirements for breach reporting (GDPR 72-hour notification, HIPAA breach rules, etc.)"</w:t>
      </w:r>
    </w:p>
    <w:bookmarkEnd w:id="33"/>
    <w:bookmarkStart w:id="34" w:name="X6549060822b7780243c50a9a6b8274150ebc943"/>
    <w:p>
      <w:pPr>
        <w:pStyle w:val="Heading3"/>
      </w:pPr>
      <w:r>
        <w:t xml:space="preserve">"Can employees access only what they should?"</w:t>
      </w:r>
    </w:p>
    <w:p>
      <w:pPr>
        <w:pStyle w:val="FirstParagraph"/>
      </w:pPr>
      <w:r>
        <w:rPr>
          <w:bCs/>
          <w:b/>
        </w:rPr>
        <w:t xml:space="preserve">Standard:</w:t>
      </w:r>
    </w:p>
    <w:p>
      <w:pPr>
        <w:pStyle w:val="BlockText"/>
      </w:pPr>
      <w:r>
        <w:t xml:space="preserve">"Our standard offering provides twin-level access control. Either someone has access to the twin or they don't. For Org-twins, we support mentor oversight of user workspaces."</w:t>
      </w:r>
    </w:p>
    <w:p>
      <w:pPr>
        <w:pStyle w:val="FirstParagraph"/>
      </w:pPr>
      <w:r>
        <w:rPr>
          <w:bCs/>
          <w:b/>
        </w:rPr>
        <w:t xml:space="preserve">Enterprise (KloudStax):</w:t>
      </w:r>
    </w:p>
    <w:p>
      <w:pPr>
        <w:pStyle w:val="BlockText"/>
      </w:pPr>
      <w:r>
        <w:t xml:space="preserve">"For granular role-based access control - where different users see different data within the same system - KloudStax can implement Google IAM integration with custom permission structures."</w:t>
      </w:r>
    </w:p>
    <w:bookmarkEnd w:id="34"/>
    <w:bookmarkStart w:id="35" w:name="do-you-have-a-security-certification"/>
    <w:p>
      <w:pPr>
        <w:pStyle w:val="Heading3"/>
      </w:pPr>
      <w:r>
        <w:t xml:space="preserve">"Do you have a security certification?"</w:t>
      </w:r>
    </w:p>
    <w:p>
      <w:pPr>
        <w:pStyle w:val="FirstParagraph"/>
      </w:pPr>
      <w:r>
        <w:rPr>
          <w:bCs/>
          <w:b/>
        </w:rPr>
        <w:t xml:space="preserve">Standard:</w:t>
      </w:r>
    </w:p>
    <w:p>
      <w:pPr>
        <w:pStyle w:val="BlockText"/>
      </w:pPr>
      <w:r>
        <w:t xml:space="preserve">"We inherit Google Workspace's certifications, which include SOC 1/2/3, ISO 27001, and more. See Google's compliance page for the full list."</w:t>
      </w:r>
    </w:p>
    <w:p>
      <w:pPr>
        <w:pStyle w:val="FirstParagraph"/>
      </w:pPr>
      <w:r>
        <w:rPr>
          <w:bCs/>
          <w:b/>
        </w:rPr>
        <w:t xml:space="preserve">Enterprise:</w:t>
      </w:r>
    </w:p>
    <w:p>
      <w:pPr>
        <w:pStyle w:val="BlockText"/>
      </w:pPr>
      <w:r>
        <w:t xml:space="preserve">"KloudStax maintains their own SOC 2 Type II certification and can provide compliance documentation for GDPR, HIPAA, and other frameworks as needed for your audits."</w:t>
      </w:r>
    </w:p>
    <w:p>
      <w:r>
        <w:pict>
          <v:rect style="width:0;height:1.5pt" o:hralign="center" o:hrstd="t" o:hr="t"/>
        </w:pict>
      </w:r>
    </w:p>
    <w:bookmarkEnd w:id="35"/>
    <w:bookmarkEnd w:id="36"/>
    <w:bookmarkStart w:id="40" w:name="security-conversation-flow"/>
    <w:p>
      <w:pPr>
        <w:pStyle w:val="Heading2"/>
      </w:pPr>
      <w:r>
        <w:t xml:space="preserve">Security Conversation Flow</w:t>
      </w:r>
    </w:p>
    <w:bookmarkStart w:id="37" w:name="step-1-understand-their-needs"/>
    <w:p>
      <w:pPr>
        <w:pStyle w:val="Heading3"/>
      </w:pPr>
      <w:r>
        <w:t xml:space="preserve">Step 1: Understand Their Needs</w:t>
      </w:r>
    </w:p>
    <w:p>
      <w:pPr>
        <w:pStyle w:val="FirstParagraph"/>
      </w:pPr>
      <w:r>
        <w:t xml:space="preserve">Ask: "What are your main security concerns or requirements?"</w:t>
      </w:r>
    </w:p>
    <w:p>
      <w:pPr>
        <w:pStyle w:val="BodyText"/>
      </w:pPr>
      <w:r>
        <w:t xml:space="preserve">Listen for:</w:t>
      </w:r>
    </w:p>
    <w:p>
      <w:pPr>
        <w:numPr>
          <w:ilvl w:val="0"/>
          <w:numId w:val="1009"/>
        </w:numPr>
        <w:pStyle w:val="Compact"/>
      </w:pPr>
      <w:r>
        <w:t xml:space="preserve">General data protection concerns → Standard offering</w:t>
      </w:r>
    </w:p>
    <w:p>
      <w:pPr>
        <w:numPr>
          <w:ilvl w:val="0"/>
          <w:numId w:val="1009"/>
        </w:numPr>
        <w:pStyle w:val="Compact"/>
      </w:pPr>
      <w:r>
        <w:t xml:space="preserve">Specific compliance mentions (GDPR, HIPAA, SOC 2) → KloudStax</w:t>
      </w:r>
    </w:p>
    <w:p>
      <w:pPr>
        <w:numPr>
          <w:ilvl w:val="0"/>
          <w:numId w:val="1009"/>
        </w:numPr>
        <w:pStyle w:val="Compact"/>
      </w:pPr>
      <w:r>
        <w:t xml:space="preserve">Role-based access needs → KloudStax</w:t>
      </w:r>
    </w:p>
    <w:p>
      <w:pPr>
        <w:numPr>
          <w:ilvl w:val="0"/>
          <w:numId w:val="1009"/>
        </w:numPr>
        <w:pStyle w:val="Compact"/>
      </w:pPr>
      <w:r>
        <w:t xml:space="preserve">Audit/documentation requirements → KloudStax</w:t>
      </w:r>
    </w:p>
    <w:bookmarkEnd w:id="37"/>
    <w:bookmarkStart w:id="38" w:name="step-2-position-appropriately"/>
    <w:p>
      <w:pPr>
        <w:pStyle w:val="Heading3"/>
      </w:pPr>
      <w:r>
        <w:t xml:space="preserve">Step 2: Position Appropriately</w:t>
      </w:r>
    </w:p>
    <w:p>
      <w:pPr>
        <w:pStyle w:val="FirstParagraph"/>
      </w:pPr>
      <w:r>
        <w:rPr>
          <w:bCs/>
          <w:b/>
        </w:rPr>
        <w:t xml:space="preserve">For Standard Needs:</w:t>
      </w:r>
    </w:p>
    <w:p>
      <w:pPr>
        <w:pStyle w:val="BlockText"/>
      </w:pPr>
      <w:r>
        <w:t xml:space="preserve">"Great news - our standard platform leverages Google Workspace's security infrastructure, which provides enterprise-grade protection out of the box. This includes encryption, access controls, and Google's world-class security operations."</w:t>
      </w:r>
    </w:p>
    <w:p>
      <w:pPr>
        <w:pStyle w:val="FirstParagraph"/>
      </w:pPr>
      <w:r>
        <w:rPr>
          <w:bCs/>
          <w:b/>
        </w:rPr>
        <w:t xml:space="preserve">For Enterprise Needs:</w:t>
      </w:r>
    </w:p>
    <w:p>
      <w:pPr>
        <w:pStyle w:val="BlockText"/>
      </w:pPr>
      <w:r>
        <w:t xml:space="preserve">"For your compliance requirements, we work with our partner KloudStax. They specialize in exactly this - GDPR, HIPAA, SOC 2, role-based access. Let me explain how that partnership works..."</w:t>
      </w:r>
    </w:p>
    <w:bookmarkEnd w:id="38"/>
    <w:bookmarkStart w:id="39" w:name="step-3-handle-the-handoff-if-needed"/>
    <w:p>
      <w:pPr>
        <w:pStyle w:val="Heading3"/>
      </w:pPr>
      <w:r>
        <w:t xml:space="preserve">Step 3: Handle the Handoff (if needed)</w:t>
      </w:r>
    </w:p>
    <w:p>
      <w:pPr>
        <w:pStyle w:val="FirstParagraph"/>
      </w:pPr>
      <w:r>
        <w:t xml:space="preserve">If KloudStax is needed:</w:t>
      </w:r>
    </w:p>
    <w:p>
      <w:pPr>
        <w:numPr>
          <w:ilvl w:val="0"/>
          <w:numId w:val="1010"/>
        </w:numPr>
        <w:pStyle w:val="Compact"/>
      </w:pPr>
      <w:r>
        <w:t xml:space="preserve">Acknowledge their requirements are valid and important</w:t>
      </w:r>
    </w:p>
    <w:p>
      <w:pPr>
        <w:numPr>
          <w:ilvl w:val="0"/>
          <w:numId w:val="1010"/>
        </w:numPr>
        <w:pStyle w:val="Compact"/>
      </w:pPr>
      <w:r>
        <w:t xml:space="preserve">Explain the partnership model</w:t>
      </w:r>
    </w:p>
    <w:p>
      <w:pPr>
        <w:numPr>
          <w:ilvl w:val="0"/>
          <w:numId w:val="1010"/>
        </w:numPr>
        <w:pStyle w:val="Compact"/>
      </w:pPr>
      <w:r>
        <w:t xml:space="preserve">Offer to make an introduction</w:t>
      </w:r>
    </w:p>
    <w:p>
      <w:pPr>
        <w:numPr>
          <w:ilvl w:val="0"/>
          <w:numId w:val="1010"/>
        </w:numPr>
        <w:pStyle w:val="Compact"/>
      </w:pPr>
      <w:r>
        <w:t xml:space="preserve">Clarify that KloudStax pricing is separate</w:t>
      </w:r>
    </w:p>
    <w:p>
      <w:pPr>
        <w:numPr>
          <w:ilvl w:val="0"/>
          <w:numId w:val="1010"/>
        </w:numPr>
        <w:pStyle w:val="Compact"/>
      </w:pPr>
      <w:r>
        <w:t xml:space="preserve">Emphasize this gives them best-in-class for both AI and security</w:t>
      </w:r>
    </w:p>
    <w:p>
      <w:r>
        <w:pict>
          <v:rect style="width:0;height:1.5pt" o:hralign="center" o:hrstd="t" o:hr="t"/>
        </w:pict>
      </w:r>
    </w:p>
    <w:bookmarkEnd w:id="39"/>
    <w:bookmarkEnd w:id="40"/>
    <w:bookmarkStart w:id="45" w:name="objection-handling"/>
    <w:p>
      <w:pPr>
        <w:pStyle w:val="Heading2"/>
      </w:pPr>
      <w:r>
        <w:t xml:space="preserve">Objection Handling</w:t>
      </w:r>
    </w:p>
    <w:bookmarkStart w:id="41" w:name="Xc23a0adb4bd9c012c4fd793ec1f517829f6a9ef"/>
    <w:p>
      <w:pPr>
        <w:pStyle w:val="Heading3"/>
      </w:pPr>
      <w:r>
        <w:t xml:space="preserve">"Why should we trust a startup with our data?"</w:t>
      </w:r>
    </w:p>
    <w:p>
      <w:pPr>
        <w:pStyle w:val="BlockText"/>
      </w:pPr>
      <w:r>
        <w:t xml:space="preserve">"You're not trusting us with your data infrastructure - you're trusting Google. We built ProAsiste on Google Workspace specifically because we knew security would be a concern. Your data sits on the same infrastructure that Fortune 500 companies trust with their most sensitive information."</w:t>
      </w:r>
    </w:p>
    <w:bookmarkEnd w:id="41"/>
    <w:bookmarkStart w:id="42" w:name="our-it-team-will-never-approve-this"/>
    <w:p>
      <w:pPr>
        <w:pStyle w:val="Heading3"/>
      </w:pPr>
      <w:r>
        <w:t xml:space="preserve">"Our IT team will never approve this."</w:t>
      </w:r>
    </w:p>
    <w:p>
      <w:pPr>
        <w:pStyle w:val="BlockText"/>
      </w:pPr>
      <w:r>
        <w:t xml:space="preserve">"I understand IT teams are cautious - they should be. Here's what usually helps:</w:t>
      </w:r>
    </w:p>
    <w:p>
      <w:pPr>
        <w:numPr>
          <w:ilvl w:val="0"/>
          <w:numId w:val="1011"/>
        </w:numPr>
        <w:pStyle w:val="Compact"/>
      </w:pPr>
      <w:r>
        <w:t xml:space="preserve">We can provide Google Workspace's security documentation</w:t>
      </w:r>
    </w:p>
    <w:p>
      <w:pPr>
        <w:numPr>
          <w:ilvl w:val="0"/>
          <w:numId w:val="1011"/>
        </w:numPr>
        <w:pStyle w:val="Compact"/>
      </w:pPr>
      <w:r>
        <w:t xml:space="preserve">For specific compliance needs, KloudStax can provide formal documentation</w:t>
      </w:r>
    </w:p>
    <w:p>
      <w:pPr>
        <w:numPr>
          <w:ilvl w:val="0"/>
          <w:numId w:val="1011"/>
        </w:numPr>
        <w:pStyle w:val="Compact"/>
      </w:pPr>
      <w:r>
        <w:t xml:space="preserve">We're happy to do a technical call with your IT team</w:t>
      </w:r>
    </w:p>
    <w:p>
      <w:pPr>
        <w:numPr>
          <w:ilvl w:val="0"/>
          <w:numId w:val="1011"/>
        </w:numPr>
        <w:pStyle w:val="Compact"/>
      </w:pPr>
      <w:r>
        <w:t xml:space="preserve">We can start with a non-sensitive pilot to build confidence"</w:t>
      </w:r>
    </w:p>
    <w:bookmarkEnd w:id="42"/>
    <w:bookmarkStart w:id="43" w:name="we-need-everything-on-premise"/>
    <w:p>
      <w:pPr>
        <w:pStyle w:val="Heading3"/>
      </w:pPr>
      <w:r>
        <w:t xml:space="preserve">"We need everything on-premise."</w:t>
      </w:r>
    </w:p>
    <w:p>
      <w:pPr>
        <w:pStyle w:val="BlockText"/>
      </w:pPr>
      <w:r>
        <w:t xml:space="preserve">"True on-premise deployment isn't something we offer directly - our platform is cloud-native. However, KloudStax can discuss private cloud options that may meet your requirements while still allowing you to use ProAsiste. Would it be helpful to explore that with them?"</w:t>
      </w:r>
    </w:p>
    <w:bookmarkEnd w:id="43"/>
    <w:bookmarkStart w:id="44" w:name="kloudstax-adds-too-much-costcomplexity"/>
    <w:p>
      <w:pPr>
        <w:pStyle w:val="Heading3"/>
      </w:pPr>
      <w:r>
        <w:t xml:space="preserve">"KloudStax adds too much cost/complexity."</w:t>
      </w:r>
    </w:p>
    <w:p>
      <w:pPr>
        <w:pStyle w:val="BlockText"/>
      </w:pPr>
      <w:r>
        <w:t xml:space="preserve">"For most customers, the standard Google Workspace security is more than sufficient. KloudStax is really for organizations with specific regulatory requirements - healthcare, finance, government contractors, EU data residency, etc. If you don't have those specific mandates, you likely don't need KloudStax."</w:t>
      </w:r>
    </w:p>
    <w:p>
      <w:r>
        <w:pict>
          <v:rect style="width:0;height:1.5pt" o:hralign="center" o:hrstd="t" o:hr="t"/>
        </w:pict>
      </w:r>
    </w:p>
    <w:bookmarkEnd w:id="44"/>
    <w:bookmarkEnd w:id="45"/>
    <w:bookmarkStart w:id="46" w:name="security-summary-table"/>
    <w:p>
      <w:pPr>
        <w:pStyle w:val="Heading2"/>
      </w:pPr>
      <w:r>
        <w:t xml:space="preserve">Security Summary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Standard Answer</w:t>
            </w:r>
          </w:p>
        </w:tc>
        <w:tc>
          <w:tcPr/>
          <w:p>
            <w:pPr>
              <w:pStyle w:val="Compact"/>
              <w:jc w:val="left"/>
            </w:pPr>
            <w:r>
              <w:t xml:space="preserve">Enterprise Answer</w:t>
            </w:r>
          </w:p>
        </w:tc>
      </w:tr>
      <w:tr>
        <w:tc>
          <w:tcPr/>
          <w:p>
            <w:pPr>
              <w:pStyle w:val="Compact"/>
              <w:jc w:val="left"/>
            </w:pPr>
            <w:r>
              <w:t xml:space="preserve">Where is data stored?</w:t>
            </w:r>
          </w:p>
        </w:tc>
        <w:tc>
          <w:tcPr/>
          <w:p>
            <w:pPr>
              <w:pStyle w:val="Compact"/>
              <w:jc w:val="left"/>
            </w:pPr>
            <w:r>
              <w:t xml:space="preserve">Google Workspace infrastructure</w:t>
            </w:r>
          </w:p>
        </w:tc>
        <w:tc>
          <w:tcPr/>
          <w:p>
            <w:pPr>
              <w:pStyle w:val="Compact"/>
              <w:jc w:val="left"/>
            </w:pPr>
            <w:r>
              <w:t xml:space="preserve">KloudStax-managed environment</w:t>
            </w:r>
          </w:p>
        </w:tc>
      </w:tr>
      <w:tr>
        <w:tc>
          <w:tcPr/>
          <w:p>
            <w:pPr>
              <w:pStyle w:val="Compact"/>
              <w:jc w:val="left"/>
            </w:pPr>
            <w:r>
              <w:t xml:space="preserve">Is data encrypted?</w:t>
            </w:r>
          </w:p>
        </w:tc>
        <w:tc>
          <w:tcPr/>
          <w:p>
            <w:pPr>
              <w:pStyle w:val="Compact"/>
              <w:jc w:val="left"/>
            </w:pPr>
            <w:r>
              <w:t xml:space="preserve">Yes (TLS + AES-256)</w:t>
            </w:r>
          </w:p>
        </w:tc>
        <w:tc>
          <w:tcPr/>
          <w:p>
            <w:pPr>
              <w:pStyle w:val="Compact"/>
              <w:jc w:val="left"/>
            </w:pPr>
            <w:r>
              <w:t xml:space="preserve">Yes + additional controls</w:t>
            </w:r>
          </w:p>
        </w:tc>
      </w:tr>
      <w:tr>
        <w:tc>
          <w:tcPr/>
          <w:p>
            <w:pPr>
              <w:pStyle w:val="Compact"/>
              <w:jc w:val="left"/>
            </w:pPr>
            <w:r>
              <w:t xml:space="preserve">GDPR compliant?</w:t>
            </w:r>
          </w:p>
        </w:tc>
        <w:tc>
          <w:tcPr/>
          <w:p>
            <w:pPr>
              <w:pStyle w:val="Compact"/>
              <w:jc w:val="left"/>
            </w:pPr>
            <w:r>
              <w:t xml:space="preserve">Partial (Google's compliance)</w:t>
            </w:r>
          </w:p>
        </w:tc>
        <w:tc>
          <w:tcPr/>
          <w:p>
            <w:pPr>
              <w:pStyle w:val="Compact"/>
              <w:jc w:val="left"/>
            </w:pPr>
            <w:r>
              <w:t xml:space="preserve">Full (KloudStax)</w:t>
            </w:r>
          </w:p>
        </w:tc>
      </w:tr>
      <w:tr>
        <w:tc>
          <w:tcPr/>
          <w:p>
            <w:pPr>
              <w:pStyle w:val="Compact"/>
              <w:jc w:val="left"/>
            </w:pPr>
            <w:r>
              <w:t xml:space="preserve">HIPAA compliant?</w:t>
            </w:r>
          </w:p>
        </w:tc>
        <w:tc>
          <w:tcPr/>
          <w:p>
            <w:pPr>
              <w:pStyle w:val="Compact"/>
              <w:jc w:val="left"/>
            </w:pPr>
            <w:r>
              <w:t xml:space="preserve">No</w:t>
            </w:r>
          </w:p>
        </w:tc>
        <w:tc>
          <w:tcPr/>
          <w:p>
            <w:pPr>
              <w:pStyle w:val="Compact"/>
              <w:jc w:val="left"/>
            </w:pPr>
            <w:r>
              <w:t xml:space="preserve">Yes (KloudStax)</w:t>
            </w:r>
          </w:p>
        </w:tc>
      </w:tr>
      <w:tr>
        <w:tc>
          <w:tcPr/>
          <w:p>
            <w:pPr>
              <w:pStyle w:val="Compact"/>
              <w:jc w:val="left"/>
            </w:pPr>
            <w:r>
              <w:t xml:space="preserve">SOC 2 certified?</w:t>
            </w:r>
          </w:p>
        </w:tc>
        <w:tc>
          <w:tcPr/>
          <w:p>
            <w:pPr>
              <w:pStyle w:val="Compact"/>
              <w:jc w:val="left"/>
            </w:pPr>
            <w:r>
              <w:t xml:space="preserve">Inherited from Google</w:t>
            </w:r>
          </w:p>
        </w:tc>
        <w:tc>
          <w:tcPr/>
          <w:p>
            <w:pPr>
              <w:pStyle w:val="Compact"/>
              <w:jc w:val="left"/>
            </w:pPr>
            <w:r>
              <w:t xml:space="preserve">KloudStax certified</w:t>
            </w:r>
          </w:p>
        </w:tc>
      </w:tr>
      <w:tr>
        <w:tc>
          <w:tcPr/>
          <w:p>
            <w:pPr>
              <w:pStyle w:val="Compact"/>
              <w:jc w:val="left"/>
            </w:pPr>
            <w:r>
              <w:t xml:space="preserve">Role-based access?</w:t>
            </w:r>
          </w:p>
        </w:tc>
        <w:tc>
          <w:tcPr/>
          <w:p>
            <w:pPr>
              <w:pStyle w:val="Compact"/>
              <w:jc w:val="left"/>
            </w:pPr>
            <w:r>
              <w:t xml:space="preserve">Twin-level only</w:t>
            </w:r>
          </w:p>
        </w:tc>
        <w:tc>
          <w:tcPr/>
          <w:p>
            <w:pPr>
              <w:pStyle w:val="Compact"/>
              <w:jc w:val="left"/>
            </w:pPr>
            <w:r>
              <w:t xml:space="preserve">Full IAM (KloudStax)</w:t>
            </w:r>
          </w:p>
        </w:tc>
      </w:tr>
      <w:tr>
        <w:tc>
          <w:tcPr/>
          <w:p>
            <w:pPr>
              <w:pStyle w:val="Compact"/>
              <w:jc w:val="left"/>
            </w:pPr>
            <w:r>
              <w:t xml:space="preserve">Audit logging?</w:t>
            </w:r>
          </w:p>
        </w:tc>
        <w:tc>
          <w:tcPr/>
          <w:p>
            <w:pPr>
              <w:pStyle w:val="Compact"/>
              <w:jc w:val="left"/>
            </w:pPr>
            <w:r>
              <w:t xml:space="preserve">Basic</w:t>
            </w:r>
          </w:p>
        </w:tc>
        <w:tc>
          <w:tcPr/>
          <w:p>
            <w:pPr>
              <w:pStyle w:val="Compact"/>
              <w:jc w:val="left"/>
            </w:pPr>
            <w:r>
              <w:t xml:space="preserve">Comprehensive (KloudStax)</w:t>
            </w:r>
          </w:p>
        </w:tc>
      </w:tr>
      <w:tr>
        <w:tc>
          <w:tcPr/>
          <w:p>
            <w:pPr>
              <w:pStyle w:val="Compact"/>
              <w:jc w:val="left"/>
            </w:pPr>
            <w:r>
              <w:t xml:space="preserve">Cost</w:t>
            </w:r>
          </w:p>
        </w:tc>
        <w:tc>
          <w:tcPr/>
          <w:p>
            <w:pPr>
              <w:pStyle w:val="Compact"/>
              <w:jc w:val="left"/>
            </w:pPr>
            <w:r>
              <w:t xml:space="preserve">Included</w:t>
            </w:r>
          </w:p>
        </w:tc>
        <w:tc>
          <w:tcPr/>
          <w:p>
            <w:pPr>
              <w:pStyle w:val="Compact"/>
              <w:jc w:val="left"/>
            </w:pPr>
            <w:r>
              <w:t xml:space="preserve">Separate KloudStax contract</w:t>
            </w:r>
          </w:p>
        </w:tc>
      </w:tr>
    </w:tbl>
    <w:p>
      <w:r>
        <w:pict>
          <v:rect style="width:0;height:1.5pt" o:hralign="center" o:hrstd="t" o:hr="t"/>
        </w:pict>
      </w:r>
    </w:p>
    <w:bookmarkEnd w:id="46"/>
    <w:bookmarkStart w:id="47" w:name="kloudstax-contact"/>
    <w:p>
      <w:pPr>
        <w:pStyle w:val="Heading2"/>
      </w:pPr>
      <w:r>
        <w:t xml:space="preserve">KloudStax Contact</w:t>
      </w:r>
    </w:p>
    <w:p>
      <w:pPr>
        <w:pStyle w:val="FirstParagraph"/>
      </w:pPr>
      <w:r>
        <w:t xml:space="preserve">For enterprise security inquiries:</w:t>
      </w:r>
    </w:p>
    <w:p>
      <w:pPr>
        <w:numPr>
          <w:ilvl w:val="0"/>
          <w:numId w:val="1012"/>
        </w:numPr>
        <w:pStyle w:val="Compact"/>
      </w:pPr>
      <w:r>
        <w:rPr>
          <w:bCs/>
          <w:b/>
        </w:rPr>
        <w:t xml:space="preserve">Partner</w:t>
      </w:r>
      <w:r>
        <w:t xml:space="preserve">: KloudStax</w:t>
      </w:r>
    </w:p>
    <w:p>
      <w:pPr>
        <w:numPr>
          <w:ilvl w:val="0"/>
          <w:numId w:val="1012"/>
        </w:numPr>
        <w:pStyle w:val="Compact"/>
      </w:pPr>
      <w:r>
        <w:rPr>
          <w:bCs/>
          <w:b/>
        </w:rPr>
        <w:t xml:space="preserve">Services</w:t>
      </w:r>
      <w:r>
        <w:t xml:space="preserve">: GDPR, HIPAA, SOC 2, IAM, dedicated environments</w:t>
      </w:r>
    </w:p>
    <w:p>
      <w:pPr>
        <w:numPr>
          <w:ilvl w:val="0"/>
          <w:numId w:val="1012"/>
        </w:numPr>
        <w:pStyle w:val="Compact"/>
      </w:pPr>
      <w:r>
        <w:rPr>
          <w:bCs/>
          <w:b/>
        </w:rPr>
        <w:t xml:space="preserve">Engagement</w:t>
      </w:r>
      <w:r>
        <w:t xml:space="preserve">: Direct contract with KloudStax</w:t>
      </w:r>
    </w:p>
    <w:p>
      <w:pPr>
        <w:numPr>
          <w:ilvl w:val="0"/>
          <w:numId w:val="1012"/>
        </w:numPr>
        <w:pStyle w:val="Compact"/>
      </w:pPr>
      <w:r>
        <w:rPr>
          <w:bCs/>
          <w:b/>
        </w:rPr>
        <w:t xml:space="preserve">Introduction</w:t>
      </w:r>
      <w:r>
        <w:t xml:space="preserve">: Contact your ProAsiste sales rep for warm introduction</w:t>
      </w:r>
    </w:p>
    <w:bookmarkEnd w:id="47"/>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ProAsiste · proasiste.com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mente_avatar.jpg"/>
                  <pic:cNvPicPr/>
                </pic:nvPicPr>
                <pic:blipFill>
                  <a:blip r:embed="rId1"/>
                  <a:stretch>
                    <a:fillRect/>
                  </a:stretch>
                </pic:blipFill>
                <pic:spPr>
                  <a:xfrm>
                    <a:off x="0" y="0"/>
                    <a:ext cx="256032" cy="256032"/>
                  </a:xfrm>
                  <a:prstGeom prst="rect"/>
                </pic:spPr>
              </pic:pic>
            </a:graphicData>
          </a:graphic>
        </wp:inline>
      </w:drawing>
    </w:r>
    <w:r>
      <w:rPr>
        <w:rFonts w:ascii="Inter" w:hAnsi="Inter"/>
        <w:b/>
        <w:color w:val="92700F"/>
        <w:sz w:val="18"/>
      </w:rPr>
      <w:t xml:space="preserve">   ProAsiste · Business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92700F"/>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92700F"/>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92700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BF8EF" w:val="clear"/>
      <w:pBdr>
        <w:left w:color="CFB382"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ProAsiste Security FAQ</dc:title>
  <dc:creator/>
  <cp:keywords/>
  <dcterms:created xsi:type="dcterms:W3CDTF">2026-06-08T18:54:54Z</dcterms:created>
  <dcterms:modified xsi:type="dcterms:W3CDTF">2026-06-08T18:54:54Z</dcterms:modified>
</cp:coreProperties>
</file>

<file path=docProps/custom.xml><?xml version="1.0" encoding="utf-8"?>
<Properties xmlns="http://schemas.openxmlformats.org/officeDocument/2006/custom-properties" xmlns:vt="http://schemas.openxmlformats.org/officeDocument/2006/docPropsVTypes"/>
</file>