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Plan</w:t>
      </w:r>
    </w:p>
    <w:p>
      <w:pPr>
        <w:pStyle w:val="TOCHeading"/>
      </w:pPr>
      <w:r>
        <w:t>Table of Contents</w:t>
      </w:r>
    </w:p>
    <w:p>
      <w:pPr/>
      <w:r>
        <w:t>(Generated automatically)</w:t>
      </w:r>
    </w:p>
    <w:p>
      <w:pPr>
        <w:pStyle w:val="Heading1"/>
      </w:pPr>
      <w:r>
        <w:t>Executive Summary</w:t>
      </w:r>
    </w:p>
    <w:p>
      <w:pPr/>
      <w:r>
        <w:t>This is the executive summary section. It provides a high-level overview of the business plan, key metrics, and strategic direction.</w:t>
      </w:r>
    </w:p>
    <w:p>
      <w:pPr>
        <w:pStyle w:val="Heading1"/>
      </w:pPr>
      <w:r>
        <w:t>Business Overview</w:t>
      </w:r>
    </w:p>
    <w:p>
      <w:pPr>
        <w:pStyle w:val="Heading2"/>
      </w:pPr>
      <w:r>
        <w:t>Company Description</w:t>
      </w:r>
    </w:p>
    <w:p>
      <w:pPr/>
      <w:r>
        <w:t>Description of the company and value proposition.</w:t>
      </w:r>
    </w:p>
    <w:p>
      <w:pPr>
        <w:pStyle w:val="Heading2"/>
      </w:pPr>
      <w:r>
        <w:t>Products and Services</w:t>
      </w:r>
    </w:p>
    <w:p>
      <w:pPr/>
      <w:r>
        <w:t>Overview of products and services offered.</w:t>
      </w:r>
    </w:p>
    <w:p>
      <w:pPr>
        <w:pStyle w:val="Heading3"/>
      </w:pPr>
      <w:r>
        <w:t>Key Features</w:t>
      </w:r>
    </w:p>
    <w:p>
      <w:pPr/>
      <w:r>
        <w:t>Detailed feature descriptions.</w:t>
      </w:r>
    </w:p>
    <w:p>
      <w:pPr>
        <w:pStyle w:val="Heading4"/>
      </w:pPr>
      <w:r>
        <w:t>Technical Specifications</w:t>
      </w:r>
    </w:p>
    <w:p>
      <w:pPr/>
      <w:r>
        <w:t>Technical details and specifications.</w:t>
      </w:r>
    </w:p>
    <w:p>
      <w:pPr/>
      <w:r>
        <w:t>Key highlights: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Bullet"/>
      </w:pPr>
      <w:r>
        <w:t>Third point</w:t>
      </w:r>
    </w:p>
    <w:p>
      <w:pPr/>
      <w:r>
        <w:t>Strategic priorities:</w:t>
      </w:r>
    </w:p>
    <w:p>
      <w:pPr>
        <w:pStyle w:val="ListNumber"/>
      </w:pPr>
      <w:r>
        <w:t>Priority one</w:t>
      </w:r>
    </w:p>
    <w:p>
      <w:pPr>
        <w:pStyle w:val="ListNumber"/>
      </w:pPr>
      <w:r>
        <w:t>Priority two</w:t>
      </w:r>
    </w:p>
    <w:p>
      <w:pPr>
        <w:pStyle w:val="ListNumber"/>
      </w:pPr>
      <w:r>
        <w:t>Priority three</w:t>
      </w:r>
    </w:p>
    <w:p>
      <w:pPr>
        <w:pStyle w:val="Heading2"/>
      </w:pPr>
      <w:r>
        <w:t>References</w:t>
      </w:r>
    </w:p>
    <w:p>
      <w:pPr/>
      <w:r>
        <w:t xml:space="preserve">For more information, see </w:t>
      </w:r>
      <w:hyperlink r:id="rId9">
        <w:r>
          <w:rPr>
            <w:rStyle w:val="Hyperlink"/>
          </w:rPr>
          <w:t>Example Source</w:t>
        </w:r>
      </w:hyperlink>
      <w:r>
        <w:t>.</w:t>
      </w:r>
    </w:p>
    <w:p>
      <w:pPr>
        <w:pStyle w:val="Heading2"/>
      </w:pPr>
      <w:r>
        <w:t>Financial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Growth</w:t>
            </w:r>
          </w:p>
        </w:tc>
      </w:tr>
      <w:tr>
        <w:tc>
          <w:tcPr>
            <w:tcW w:type="dxa" w:w="3120"/>
          </w:tcPr>
          <w:p>
            <w:r>
              <w:t>2026</w:t>
            </w:r>
          </w:p>
        </w:tc>
        <w:tc>
          <w:tcPr>
            <w:tcW w:type="dxa" w:w="3120"/>
          </w:tcPr>
          <w:p>
            <w:r>
              <w:t>$325,000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2027</w:t>
            </w:r>
          </w:p>
        </w:tc>
        <w:tc>
          <w:tcPr>
            <w:tcW w:type="dxa" w:w="3120"/>
          </w:tcPr>
          <w:p>
            <w:r>
              <w:t>$650,000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</w:tr>
      <w:tr>
        <w:tc>
          <w:tcPr>
            <w:tcW w:type="dxa" w:w="3120"/>
          </w:tcPr>
          <w:p>
            <w:r>
              <w:t>2028</w:t>
            </w:r>
          </w:p>
        </w:tc>
        <w:tc>
          <w:tcPr>
            <w:tcW w:type="dxa" w:w="3120"/>
          </w:tcPr>
          <w:p>
            <w:r>
              <w:t>$1,300,000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b/>
      <w:bCs/>
      <w:color w:val="1A365D"/>
      <w:sz w:val="48"/>
      <w:szCs w:val="28"/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b/>
      <w:bCs/>
      <w:color w:val="2E5C8A"/>
      <w:sz w:val="36"/>
      <w:szCs w:val="26"/>
      <w:rFonts w:ascii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b/>
      <w:bCs/>
      <w:color w:val="3D85C6"/>
      <w:sz w:val="28"/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b/>
      <w:bCs/>
      <w:i/>
      <w:iCs/>
      <w:color w:val="333333"/>
      <w:sz w:val="24"/>
      <w:rFonts w:ascii="Times New Roman" w:hAnsi="Times New Roman" w:cs="Times New Roma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b/>
      <w:color w:val="1A365D"/>
      <w:spacing w:val="5"/>
      <w:kern w:val="28"/>
      <w:sz w:val="88"/>
      <w:szCs w:val="52"/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b w:val="0"/>
      <w:i/>
      <w:iCs/>
      <w:color w:val="2E5C8A"/>
      <w:spacing w:val="15"/>
      <w:sz w:val="48"/>
      <w:szCs w:val="24"/>
      <w:rFonts w:ascii="Times New Roman" w:hAnsi="Times New Roman" w:cs="Times New Roma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b/>
      <w:color w:val="1A365D"/>
      <w:sz w:val="32"/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e">
    <w:name w:val="Date"/>
    <w:pPr>
      <w:jc w:val="center"/>
    </w:pPr>
    <w:rPr>
      <w:color w:val="333333"/>
      <w:sz w:val="28"/>
      <w:rFonts w:ascii="Times New Roman" w:hAnsi="Times New Roman" w:cs="Times New Roman"/>
    </w:rPr>
  </w:style>
  <w:style w:type="character" w:customStyle="1" w:styleId="Hyperlink">
    <w:name w:val="Hyperlink"/>
    <w:rPr>
      <w:color w:val="0563C1"/>
      <w:u w:val="single"/>
    </w:rPr>
  </w:style>
  <w:style w:type="paragraph" w:customStyle="1" w:styleId="BlockQuote">
    <w:name w:val="Block Quote"/>
    <w:pPr>
      <w:spacing w:before="120" w:after="120"/>
      <w:ind w:left="720"/>
    </w:pPr>
    <w:rPr>
      <w:i/>
      <w:color w:val="666666"/>
      <w:sz w:val="22"/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