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2026년 7월 1일~10일 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2026-07-01 ~ 2026-07-10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2026-08-05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작업환경</w:t>
            </w:r>
            <w:r>
              <w:rPr>
                <w:b/>
                <w:color w:val="123B67"/>
                <w:sz w:val="22"/>
                <w:lang w:eastAsia="ko-KR"/>
              </w:rPr>
              <w:t xml:space="preserve">, </w:t>
            </w:r>
            <w:r>
              <w:rPr>
                <w:b/>
                <w:color w:val="123B67"/>
                <w:sz w:val="22"/>
                <w:lang w:eastAsia="ko-KR"/>
              </w:rPr>
              <w:t>데이터로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증명한다</w:t>
            </w:r>
            <w:r>
              <w:rPr>
                <w:b/>
                <w:color w:val="123B67"/>
                <w:sz w:val="22"/>
                <w:lang w:eastAsia="ko-KR"/>
              </w:rPr>
              <w:t>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문서는</w:t>
            </w:r>
            <w:r>
              <w:rPr>
                <w:color w:val="6B7A8C"/>
                <w:sz w:val="18"/>
                <w:lang w:eastAsia="ko-KR"/>
              </w:rPr>
              <w:t xml:space="preserve"> AI </w:t>
            </w:r>
            <w:r>
              <w:rPr>
                <w:color w:val="6B7A8C"/>
                <w:sz w:val="18"/>
                <w:lang w:eastAsia="ko-KR"/>
              </w:rPr>
              <w:t>기반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위험성평가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데이터를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토대로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자동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생성되는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보고서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양식이다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10건의 위험성평가가 수행됐다. 고위험 및 중대위험 항목은 6건으로 전체의 60.0%이다. 조치가 연결된 평가 항목은 5건이며, 전체 평가 항목 기준 조치 완료율은 50.0%이다. 승인 완료 평가 항목은 5건이며, 전체 평가 항목 기준 승인 완료율은 50.0%이다. 미조치 평가 항목은 5건이고, 이 중 고위험 또는 중대위험 미조치 항목은 3건이다.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</w:t>
      </w:r>
      <w:r>
        <w:rPr>
          <w:b/>
          <w:color w:val="123B67"/>
          <w:sz w:val="24"/>
        </w:rPr>
        <w:t xml:space="preserve"> </w:t>
      </w:r>
      <w:r>
        <w:rPr>
          <w:b/>
          <w:color w:val="123B67"/>
          <w:sz w:val="24"/>
        </w:rPr>
        <w:t>지표</w:t>
      </w:r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10</w:t>
            </w:r>
            <w:r>
              <w:rPr>
                <w:b/>
                <w:color w:val="2F6FB3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  <w:r>
              <w:rPr>
                <w:b/>
                <w:color w:val="6B7A8C"/>
                <w:sz w:val="18"/>
              </w:rPr>
              <w:t xml:space="preserve"> + </w:t>
            </w:r>
            <w:r>
              <w:rPr>
                <w:b/>
                <w:color w:val="6B7A8C"/>
                <w:sz w:val="18"/>
              </w:rPr>
              <w:t>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6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5</w:t>
            </w:r>
            <w:r>
              <w:rPr>
                <w:b/>
                <w:color w:val="F28C28"/>
                <w:sz w:val="24"/>
              </w:rPr>
              <w:t>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123B50C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61E5774E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50.0%%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승인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50.0%%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5</w:t>
            </w:r>
            <w:r>
              <w:rPr>
                <w:b/>
                <w:color w:val="D94841"/>
                <w:sz w:val="24"/>
              </w:rPr>
              <w:t>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KPI </w:t>
      </w:r>
      <w:r>
        <w:rPr>
          <w:color w:val="6B7A8C"/>
          <w:sz w:val="16"/>
          <w:lang w:eastAsia="ko-KR"/>
        </w:rPr>
        <w:t>값은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선택한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평가기간의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최신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데이터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기준으로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산출됩니다</w:t>
      </w:r>
      <w:r>
        <w:rPr>
          <w:color w:val="6B7A8C"/>
          <w:sz w:val="16"/>
          <w:lang w:eastAsia="ko-KR"/>
        </w:rPr>
        <w:t>.</w:t>
      </w:r>
    </w:p>
    <w:p w14:paraId="7B449C0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>위험도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분포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및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2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</w:t>
            </w:r>
            <w:r>
              <w:rPr>
                <w:b/>
                <w:color w:val="F28C28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2</w:t>
            </w:r>
            <w:r>
              <w:rPr>
                <w:b/>
                <w:color w:val="F4C542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2</w:t>
            </w:r>
            <w:r>
              <w:rPr>
                <w:b/>
                <w:color w:val="2E9D62"/>
                <w:sz w:val="24"/>
              </w:rPr>
              <w:t>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현황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2건, 고위험 4건, 중간위험 2건, 저위험 2건으로 확인됐다. 고위험 및 중대위험 항목은 총 6건으로 전체 평가 항목 10건의 60.0%를 차지했다. 조치가 연결된 평가 항목은 5건이며, 전체 평가 항목 기준 조치 완료율은 50.0%, 승인 완료율은 50.0%이다. 미조치 평가 항목은 5건이고, 이 중 고위험 또는 중대위험 미조치 항목은 3건으로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</w:t>
            </w:r>
            <w:r>
              <w:rPr>
                <w:b/>
                <w:color w:val="123B67"/>
                <w:sz w:val="32"/>
              </w:rPr>
              <w:t xml:space="preserve"> </w:t>
            </w:r>
            <w:r>
              <w:rPr>
                <w:b/>
                <w:color w:val="123B67"/>
                <w:sz w:val="32"/>
              </w:rPr>
              <w:t>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</w:t>
      </w:r>
      <w:r>
        <w:rPr>
          <w:b/>
          <w:color w:val="123B67"/>
          <w:sz w:val="20"/>
        </w:rPr>
        <w:t xml:space="preserve"> </w:t>
      </w:r>
      <w:r>
        <w:rPr>
          <w:b/>
          <w:color w:val="123B67"/>
          <w:sz w:val="20"/>
        </w:rPr>
        <w:t>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및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고위험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항목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중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조치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승인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노출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수준을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기준으로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우선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표시한다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</w:t>
            </w:r>
            <w:r>
              <w:rPr>
                <w:b/>
                <w:color w:val="FFFFFF"/>
                <w:sz w:val="17"/>
              </w:rPr>
              <w:t>·</w:t>
            </w:r>
            <w:r>
              <w:rPr>
                <w:b/>
                <w:color w:val="FFFFFF"/>
                <w:sz w:val="17"/>
              </w:rPr>
              <w:t>조치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지하 전기실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전기실 주변 적치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CRITICAL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분전반 앞 청소도구 방치 확인.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청소도구를 지정 보관함으로 이동하고 접근 공간 확보.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지하 전기실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전기실 주변 적치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CRITICAL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분전반 주변 이물질 없음. 소화기 압력 정상.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3층 포장라인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지게차 동선 침범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보행자 통로 일부에 팔레트 방치 확인.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팔레트를 적재 구역으로 이동하여 보행 통로를 재확보함.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2층 A구역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피난통로 적치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피난통로에 박스 적치 확인. 조치 필요.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박스 6개를 이동 보관하여 피난통로 폭을 확보함.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3층 포장라인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지게차 동선 침범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보행자 통로와 지게차 이동 동선 분리 상태 양호.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2층 A구역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피난통로 적치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피난통로에 적치물 없음. 비상구 접근 상태 양호.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</w:t>
      </w:r>
      <w:r>
        <w:rPr>
          <w:color w:val="6B7A8C"/>
          <w:sz w:val="16"/>
          <w:lang w:eastAsia="ko-KR"/>
        </w:rPr>
        <w:t>항목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수에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따라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표의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행과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페이지가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확장되도록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구성한다</w:t>
      </w:r>
      <w:r>
        <w:rPr>
          <w:color w:val="6B7A8C"/>
          <w:sz w:val="16"/>
          <w:lang w:eastAsia="ko-KR"/>
        </w:rPr>
        <w:t>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10건 중 6건이 고위험 또는 중대위험으로 분류됐다. 조치가 연결된 평가 항목은 5건이며, 미조치 평가 항목은 5건으로 확인됐다. 특히 고위험 또는 중대위험 미조치 항목 3건은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3</w:t>
            </w:r>
            <w:r>
              <w:rPr>
                <w:b/>
                <w:sz w:val="20"/>
              </w:rPr>
              <w:t>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50.0%%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50.0%%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보고서는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위험성평가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원본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데이터와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조치이력을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기반으로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자동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생성됩니다</w:t>
      </w:r>
      <w:r>
        <w:rPr>
          <w:color w:val="6B7A8C"/>
          <w:sz w:val="17"/>
          <w:lang w:eastAsia="ko-KR"/>
        </w:rPr>
        <w:t>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C7CCF" w14:textId="77777777" w:rsidR="00AB2030" w:rsidRDefault="00AB2030">
      <w:pPr>
        <w:spacing w:after="0" w:line="240" w:lineRule="auto"/>
      </w:pPr>
      <w:r>
        <w:separator/>
      </w:r>
    </w:p>
  </w:endnote>
  <w:endnote w:type="continuationSeparator" w:id="0">
    <w:p w14:paraId="2C09F2BF" w14:textId="77777777" w:rsidR="00AB2030" w:rsidRDefault="00AB20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9F606" w14:textId="77777777" w:rsidR="00AB2030" w:rsidRDefault="00AB2030">
      <w:pPr>
        <w:spacing w:after="0" w:line="240" w:lineRule="auto"/>
      </w:pPr>
      <w:r>
        <w:separator/>
      </w:r>
    </w:p>
  </w:footnote>
  <w:footnote w:type="continuationSeparator" w:id="0">
    <w:p w14:paraId="2224DCF0" w14:textId="77777777" w:rsidR="00AB2030" w:rsidRDefault="00AB20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BFD"/>
    <w:rsid w:val="00437B51"/>
    <w:rsid w:val="00AA1D8D"/>
    <w:rsid w:val="00AB2030"/>
    <w:rsid w:val="00B47730"/>
    <w:rsid w:val="00CB0664"/>
    <w:rsid w:val="00DD1B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2013-12-23T23:15:00Z</dcterms:created>
  <dcterms:modified xsi:type="dcterms:W3CDTF">2026-08-05T07:28:00Z</dcterms:modified>
  <cp:category/>
</cp:coreProperties>
</file>