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E3A8A"/>
          <w:sz w:val="40"/>
          <w:szCs w:val="40"/>
        </w:rPr>
        <w:t xml:space="preserve">OWNER FAQ</w:t>
      </w:r>
    </w:p>
    <w:p>
      <w:pPr>
        <w:spacing w:after="240"/>
        <w:jc w:val="center"/>
      </w:pPr>
      <w:r>
        <w:rPr>
          <w:rFonts w:ascii="Arial" w:cs="Arial" w:eastAsia="Arial" w:hAnsi="Arial"/>
          <w:color w:val="333333"/>
          <w:sz w:val="20"/>
          <w:szCs w:val="20"/>
        </w:rPr>
        <w:t xml:space="preserve">The questions every pilot owner has asked us</w:t>
      </w:r>
    </w:p>
    <w:p>
      <w:pPr>
        <w:pStyle w:val="Heading2"/>
      </w:pPr>
      <w:r>
        <w:rPr>
          <w:rFonts w:ascii="Arial" w:cs="Arial" w:eastAsia="Arial" w:hAnsi="Arial"/>
          <w:b/>
          <w:bCs/>
        </w:rPr>
        <w:t xml:space="preserve">1. What if PharmaCare Pro crashes during a sale?</w:t>
      </w:r>
    </w:p>
    <w:p>
      <w:r>
        <w:rPr>
          <w:rFonts w:ascii="Arial" w:cs="Arial" w:eastAsia="Arial" w:hAnsi="Arial"/>
        </w:rPr>
        <w:t xml:space="preserve">Two answers. (1) The auto-backup loop runs every 30 min, so worst-case you lose 30 min of bills. We restore from the latest snapshot in under 10 minutes (DR_Runbook §3). (2) For 14 days you're parallel-running with your existing system, so even total data loss has the legacy system as a backstop.</w:t>
      </w:r>
    </w:p>
    <w:p>
      <w:pPr>
        <w:pStyle w:val="Heading2"/>
      </w:pPr>
      <w:r>
        <w:rPr>
          <w:rFonts w:ascii="Arial" w:cs="Arial" w:eastAsia="Arial" w:hAnsi="Arial"/>
          <w:b/>
          <w:bCs/>
        </w:rPr>
        <w:t xml:space="preserve">2. What if you (Sourav) disappear / shut down the company?</w:t>
      </w:r>
    </w:p>
    <w:p>
      <w:r>
        <w:rPr>
          <w:rFonts w:ascii="Arial" w:cs="Arial" w:eastAsia="Arial" w:hAnsi="Arial"/>
        </w:rPr>
        <w:t xml:space="preserve">You keep the binary forever. The license is perpetual. You also have your full SQLite database file at any time — JSON / CSV / SQLite export is one keypress. Nothing locks you in.</w:t>
      </w:r>
    </w:p>
    <w:p>
      <w:pPr>
        <w:pStyle w:val="Heading2"/>
      </w:pPr>
      <w:r>
        <w:rPr>
          <w:rFonts w:ascii="Arial" w:cs="Arial" w:eastAsia="Arial" w:hAnsi="Arial"/>
          <w:b/>
          <w:bCs/>
        </w:rPr>
        <w:t xml:space="preserve">3. Will my CA know how to file from PharmaCare?</w:t>
      </w:r>
    </w:p>
    <w:p>
      <w:r>
        <w:rPr>
          <w:rFonts w:ascii="Arial" w:cs="Arial" w:eastAsia="Arial" w:hAnsi="Arial"/>
        </w:rPr>
        <w:t xml:space="preserve">Yes. The CSV bundle is Tally-Prime column-order compatible. CAs who know Tally read it instantly. The JSON is GSTN offline-tool v3.1.3 compatible — file directly via offline tool, no manual entry.</w:t>
      </w:r>
    </w:p>
    <w:p>
      <w:pPr>
        <w:pStyle w:val="Heading2"/>
      </w:pPr>
      <w:r>
        <w:rPr>
          <w:rFonts w:ascii="Arial" w:cs="Arial" w:eastAsia="Arial" w:hAnsi="Arial"/>
          <w:b/>
          <w:bCs/>
        </w:rPr>
        <w:t xml:space="preserve">4. What about Hindi / Marathi support?</w:t>
      </w:r>
    </w:p>
    <w:p>
      <w:r>
        <w:rPr>
          <w:rFonts w:ascii="Arial" w:cs="Arial" w:eastAsia="Arial" w:hAnsi="Arial"/>
        </w:rPr>
        <w:t xml:space="preserve">Day-1: English only. Hindi + Marathi labels ship in Q3 2026. We translate the UI strings, not the SKU names — those stay as you entered them.</w:t>
      </w:r>
    </w:p>
    <w:p>
      <w:pPr>
        <w:pStyle w:val="Heading2"/>
      </w:pPr>
      <w:r>
        <w:rPr>
          <w:rFonts w:ascii="Arial" w:cs="Arial" w:eastAsia="Arial" w:hAnsi="Arial"/>
          <w:b/>
          <w:bCs/>
        </w:rPr>
        <w:t xml:space="preserve">5. Does this work without internet?</w:t>
      </w:r>
    </w:p>
    <w:p>
      <w:r>
        <w:rPr>
          <w:rFonts w:ascii="Arial" w:cs="Arial" w:eastAsia="Arial" w:hAnsi="Arial"/>
        </w:rPr>
        <w:t xml:space="preserve">Yes. POS, GRN, GSTR-1 generation — all 100% offline. The only features that need internet: Gmail-bridge (X1, optional), e-invoice IRN submission (only required if your turnover ≥ ₹5Cr), and the AI Copilot (post-pilot).</w:t>
      </w:r>
    </w:p>
    <w:p>
      <w:pPr>
        <w:pStyle w:val="Heading2"/>
      </w:pPr>
      <w:r>
        <w:rPr>
          <w:rFonts w:ascii="Arial" w:cs="Arial" w:eastAsia="Arial" w:hAnsi="Arial"/>
          <w:b/>
          <w:bCs/>
        </w:rPr>
        <w:t xml:space="preserve">6. What hardware do I need?</w:t>
      </w:r>
    </w:p>
    <w:p>
      <w:r>
        <w:rPr>
          <w:rFonts w:ascii="Arial" w:cs="Arial" w:eastAsia="Arial" w:hAnsi="Arial"/>
        </w:rPr>
        <w:t xml:space="preserve">Existing Windows 7/10/11 PC (4GB RAM minimum, 8GB recommended). Receipt printer (Epson TM-T82III or equivalent). Barcode scanner (Honeywell Voyager 1250g). 4-port USB hub. We help you spec — total hardware cost: ₹15-25k one-time.</w:t>
      </w:r>
    </w:p>
    <w:p>
      <w:pPr>
        <w:pStyle w:val="Heading2"/>
      </w:pPr>
      <w:r>
        <w:rPr>
          <w:rFonts w:ascii="Arial" w:cs="Arial" w:eastAsia="Arial" w:hAnsi="Arial"/>
          <w:b/>
          <w:bCs/>
        </w:rPr>
        <w:t xml:space="preserve">7. Can I use my existing receipt printer?</w:t>
      </w:r>
    </w:p>
    <w:p>
      <w:r>
        <w:rPr>
          <w:rFonts w:ascii="Arial" w:cs="Arial" w:eastAsia="Arial" w:hAnsi="Arial"/>
        </w:rPr>
        <w:t xml:space="preserve">If it's any USB or Ethernet thermal 80mm printer made in the last 5 years, yes. We test-print on Day-1 before signing off. If it doesn't work, we'll know inside 5 minutes and ship a replacement.</w:t>
      </w:r>
    </w:p>
    <w:p>
      <w:pPr>
        <w:pStyle w:val="Heading2"/>
      </w:pPr>
      <w:r>
        <w:rPr>
          <w:rFonts w:ascii="Arial" w:cs="Arial" w:eastAsia="Arial" w:hAnsi="Arial"/>
          <w:b/>
          <w:bCs/>
        </w:rPr>
        <w:t xml:space="preserve">8. What if a regulator finds something wrong?</w:t>
      </w:r>
    </w:p>
    <w:p>
      <w:r>
        <w:rPr>
          <w:rFonts w:ascii="Arial" w:cs="Arial" w:eastAsia="Arial" w:hAnsi="Arial"/>
        </w:rPr>
        <w:t xml:space="preserve">PharmaCare Pro auto-checks GST + Schedule H/H1/X register + NDPS Form IV + DPDP. If a regulator flags a gap that our software should have caught, we patch within 7 days at no charge (Sales Agreement §6). If the gap is something only you can fix (e.g. expired drug license), the software flags it but you have to renew the license.</w:t>
      </w:r>
    </w:p>
    <w:p>
      <w:pPr>
        <w:pStyle w:val="Heading2"/>
      </w:pPr>
      <w:r>
        <w:rPr>
          <w:rFonts w:ascii="Arial" w:cs="Arial" w:eastAsia="Arial" w:hAnsi="Arial"/>
          <w:b/>
          <w:bCs/>
        </w:rPr>
        <w:t xml:space="preserve">9. What's an IRN, and do I need one?</w:t>
      </w:r>
    </w:p>
    <w:p>
      <w:r>
        <w:rPr>
          <w:rFonts w:ascii="Arial" w:cs="Arial" w:eastAsia="Arial" w:hAnsi="Arial"/>
        </w:rPr>
        <w:t xml:space="preserve">IRN = Invoice Reference Number, issued by NIC. Mandatory for B2B invoices ONLY if your annual turnover is ≥ ₹5Cr. For most pilots (10-40L monthly GMV pharmacies), this doesn't apply. The software supports it the day you cross the threshold.</w:t>
      </w:r>
    </w:p>
    <w:p>
      <w:pPr>
        <w:pStyle w:val="Heading2"/>
      </w:pPr>
      <w:r>
        <w:rPr>
          <w:rFonts w:ascii="Arial" w:cs="Arial" w:eastAsia="Arial" w:hAnsi="Arial"/>
          <w:b/>
          <w:bCs/>
        </w:rPr>
        <w:t xml:space="preserve">10. Can I switch back to Marg / Tally if I don't like PharmaCare?</w:t>
      </w:r>
    </w:p>
    <w:p>
      <w:r>
        <w:rPr>
          <w:rFonts w:ascii="Arial" w:cs="Arial" w:eastAsia="Arial" w:hAnsi="Arial"/>
        </w:rPr>
        <w:t xml:space="preserve">Yes. JSON / CSV export gives you everything. Tally and Marg both have CSV import paths. We'll help you migrate back at no charge in the first year. After that, support is best-effort.</w:t>
      </w:r>
    </w:p>
    <w:p>
      <w:pPr>
        <w:pStyle w:val="Heading2"/>
      </w:pPr>
      <w:r>
        <w:rPr>
          <w:rFonts w:ascii="Arial" w:cs="Arial" w:eastAsia="Arial" w:hAnsi="Arial"/>
          <w:b/>
          <w:bCs/>
        </w:rPr>
        <w:t xml:space="preserve">11. What's the AI Copilot?</w:t>
      </w:r>
    </w:p>
    <w:p>
      <w:r>
        <w:rPr>
          <w:rFonts w:ascii="Arial" w:cs="Arial" w:eastAsia="Arial" w:hAnsi="Arial"/>
        </w:rPr>
        <w:t xml:space="preserve">A natural-language Q&amp;A panel — 'how many strips of Crocin did I sell last month?' — that ships in Q4 2026. Owner-only access, no PII in scope, fully opt-in. ADR-0025 has the design. Not on Day-1; comes via a free AMC update.</w:t>
      </w:r>
    </w:p>
    <w:p>
      <w:pPr>
        <w:pStyle w:val="Heading2"/>
      </w:pPr>
      <w:r>
        <w:rPr>
          <w:rFonts w:ascii="Arial" w:cs="Arial" w:eastAsia="Arial" w:hAnsi="Arial"/>
          <w:b/>
          <w:bCs/>
        </w:rPr>
        <w:t xml:space="preserve">12. What's stopping you from raising prices later?</w:t>
      </w:r>
    </w:p>
    <w:p>
      <w:r>
        <w:rPr>
          <w:rFonts w:ascii="Arial" w:cs="Arial" w:eastAsia="Arial" w:hAnsi="Arial"/>
        </w:rPr>
        <w:t xml:space="preserve">Two things. (1) Your license is perpetual at the price you paid. (2) The first 100 paying shops are price-locked even on AMC renewal. We'd rather build trust with the first cohort than chase margin.</w:t>
      </w:r>
    </w:p>
    <w:p>
      <w:pPr>
        <w:pStyle w:val="Heading2"/>
      </w:pPr>
      <w:r>
        <w:rPr>
          <w:rFonts w:ascii="Arial" w:cs="Arial" w:eastAsia="Arial" w:hAnsi="Arial"/>
          <w:b/>
          <w:bCs/>
        </w:rPr>
        <w:t xml:space="preserve">13. What if my shop grows and I need a second store?</w:t>
      </w:r>
    </w:p>
    <w:p>
      <w:r>
        <w:rPr>
          <w:rFonts w:ascii="Arial" w:cs="Arial" w:eastAsia="Arial" w:hAnsi="Arial"/>
        </w:rPr>
        <w:t xml:space="preserve">Multi-store ships post-pilot (ADR-0028). Parent dashboard + per-store workers + LAN sync. Per-store pricing drops as you add stores. We'll be ready before you are.</w:t>
      </w:r>
    </w:p>
    <w:p>
      <w:pPr>
        <w:pStyle w:val="Heading2"/>
      </w:pPr>
      <w:r>
        <w:rPr>
          <w:rFonts w:ascii="Arial" w:cs="Arial" w:eastAsia="Arial" w:hAnsi="Arial"/>
          <w:b/>
          <w:bCs/>
        </w:rPr>
        <w:t xml:space="preserve">14. Who is Sourav Shaw?</w:t>
      </w:r>
    </w:p>
    <w:p>
      <w:r>
        <w:rPr>
          <w:rFonts w:ascii="Arial" w:cs="Arial" w:eastAsia="Arial" w:hAnsi="Arial"/>
        </w:rPr>
        <w:t xml:space="preserve">Self-trained DevOps engineer based in Kalyan, Mumbai. PharmaCare Pro is built primarily on the gap I saw watching family pharmacies struggle with Marg/Tally. Direct WhatsApp number on the install card. No tier-2 phone tree.</w:t>
      </w:r>
    </w:p>
    <w:p>
      <w:pPr>
        <w:pStyle w:val="Heading2"/>
      </w:pPr>
      <w:r>
        <w:rPr>
          <w:rFonts w:ascii="Arial" w:cs="Arial" w:eastAsia="Arial" w:hAnsi="Arial"/>
          <w:b/>
          <w:bCs/>
        </w:rPr>
        <w:t xml:space="preserve">15. What's the catch?</w:t>
      </w:r>
    </w:p>
    <w:p>
      <w:r>
        <w:rPr>
          <w:rFonts w:ascii="Arial" w:cs="Arial" w:eastAsia="Arial" w:hAnsi="Arial"/>
        </w:rPr>
        <w:t xml:space="preserve">Honestly: this is v0.1.0. You'll find bugs in the first 30 days. The trade is — you get a software your existing vendors won't ship in 3 years (X1 Gmail-bridge, X2 SKU-image dedupe, X3 photo-of-paper-bill, AI Copilot), and a founder who shows up at your shop when something breaks.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66666"/>
        <w:sz w:val="16"/>
        <w:szCs w:val="16"/>
      </w:rPr>
      <w:t xml:space="preserve">Sourav Shaw · Founder</w:t>
    </w:r>
    <w:r>
      <w:rPr>
        <w:rFonts w:ascii="Arial" w:cs="Arial" w:eastAsia="Arial" w:hAnsi="Arial"/>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1E3A8A"/>
        <w:sz w:val="18"/>
        <w:szCs w:val="18"/>
      </w:rPr>
      <w:t xml:space="preserve">PharmaCare Pro · Owner FAQ</w:t>
    </w:r>
    <w:r>
      <w:rPr>
        <w:rFonts w:ascii="Arial" w:cs="Arial" w:eastAsia="Arial" w:hAnsi="Arial"/>
        <w:color w:val="666666"/>
        <w:sz w:val="16"/>
        <w:szCs w:val="16"/>
      </w:rPr>
      <w:t xml:space="preserve">	Confidential · Apr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32"/>
      <w:szCs w:val="32"/>
    </w:rPr>
  </w:style>
  <w:style w:type="paragraph" w:styleId="Heading2">
    <w:name w:val="Heading 2"/>
    <w:basedOn w:val="Normal"/>
    <w:next w:val="Normal"/>
    <w:qFormat/>
    <w:pPr>
      <w:spacing w:after="60" w:before="180"/>
      <w:outlineLvl w:val="1"/>
    </w:pPr>
    <w:rPr>
      <w:rFonts w:ascii="Arial" w:cs="Arial" w:eastAsia="Arial" w:hAnsi="Arial"/>
      <w:b/>
      <w:bCs/>
      <w:color w:val="1E3A8A"/>
      <w:sz w:val="24"/>
      <w:szCs w:val="24"/>
    </w:rPr>
  </w:style>
  <w:style w:type="paragraph" w:styleId="Heading3">
    <w:name w:val="Heading 3"/>
    <w:basedOn w:val="Normal"/>
    <w:next w:val="Normal"/>
    <w:qFormat/>
    <w:pPr>
      <w:spacing w:after="4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2026-04-27T09:18:40.554Z</dcterms:created>
  <dcterms:modified xsi:type="dcterms:W3CDTF">2026-04-27T09:18:40.554Z</dcterms:modified>
</cp:coreProperties>
</file>

<file path=docProps/custom.xml><?xml version="1.0" encoding="utf-8"?>
<Properties xmlns="http://schemas.openxmlformats.org/officeDocument/2006/custom-properties" xmlns:vt="http://schemas.openxmlformats.org/officeDocument/2006/docPropsVTypes"/>
</file>