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PHARMACARE PRO PRICING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Perpetual license + AMC. No SaaS lock-in. No surprises.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What you 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Desktop POS — bills, returns, GRN, GSTR-1, IRN, partial refunds.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compliance auto-checked: GST, Schedule H/H1/X register, NDPS Form IV, DPDP, NPPA caps.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Receipt printing (thermal 80mm) + GST tax invoice (A5).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Auto-snapshot every 30 min; restore in &lt;10 minutes.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Founder hotline (Sourav Shaw direct line) for first 30 days; AMC includes ongoing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Lifetime perpetual license — your shop owns the binary forever, even if PharmaCare folds.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JSON / CSV / SQLite export of all your data anytime — no vendor lock-in.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Pricing — single 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Cost (INR)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When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Perpetual license (Software)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₹14,999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One-time, on Day-1 install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Maintenance Contract (AMC)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₹4,999/year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2 onwards. Year 1 free.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— first 3 months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10 pilot shops only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(printer/scanner)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Cost-pass-through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buys directly. We help spec.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E-invoice (IRN) — Cygnet/ClearTax fees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Cost-pass-through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shop turnover ≥ ₹5Cr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Comparison vs Marg / BUSY / Tally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Marg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BUSY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PharmaCare Pro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Year-1 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₹15-25k+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₹15-30k+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(pilot) / ₹14,999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₹5-7k/yr AMC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₹5-8k/yr AMC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₹4,999/yr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refunds (line-level)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 + auto credit-note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invoice → GRN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X1 moat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of paper bill → GRN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X3 moat (post Day-1)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 image dedupe (Schedule H protection)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X2 moat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hotline 24/7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Tier-3 phone tree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Tier-3 phone tree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WhatsApp Sourav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Multi-store (post pilot)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2-3 stores: ₹14,999 per store + ₹3,999/yr AMC each. Parent dashboard at no extra cost.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4-10 stores: ₹12,999 per store. Multi-store gRPC parent/worker (ADR-0028).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11+ stores or franchise: contact directly. Custom contract.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Founder note</w:t>
      </w:r>
    </w:p>
    <w:p>
      <w:r>
        <w:rPr>
          <w:rFonts w:ascii="Arial" w:cs="Arial" w:eastAsia="Arial" w:hAnsi="Arial"/>
          <w:i/>
          <w:iCs/>
        </w:rPr>
        <w:t xml:space="preserve">This price is locked for the first 100 paying shops. After Pilot+50, MRP rises to ₹19,999. The first-cohort discount is one of the few promises this software ships with — it's how I show up, build relationships, and earn the right to your data trust.</w:t>
      </w:r>
    </w:p>
    <w:p>
      <w:pPr>
        <w:spacing w:before="120"/>
        <w:jc w:val="right"/>
      </w:pPr>
      <w:r>
        <w:rPr>
          <w:rFonts w:ascii="Arial" w:cs="Arial" w:eastAsia="Arial" w:hAnsi="Arial"/>
          <w:i/>
          <w:iCs/>
          <w:color w:val="666666"/>
        </w:rPr>
        <w:t xml:space="preserve">— Sourav Shaw, founder / on-call engineer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Pricing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2026-04-27T09:18:40.434Z</dcterms:created>
  <dcterms:modified xsi:type="dcterms:W3CDTF">2026-04-27T09:18:40.435Z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