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CLEARTAX GSP ONBOARDING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IRN/CRN vendor — failover from Cygnet (Playbook v2.0 §12)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Procurement deferred until Cygnet contract closes; this doc unblocks the failover when it triggers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 · Why a second vendor</w:t>
      </w:r>
    </w:p>
    <w:p>
      <w:r>
        <w:rPr>
          <w:rFonts w:ascii="Arial" w:cs="Arial" w:eastAsia="Arial" w:hAnsi="Arial"/>
        </w:rPr>
        <w:t xml:space="preserve">Playbook v2.0 §12 mandates a second-vendor plan for every external integration. Single-vendor IRN means a Cygnet outage = pilot shop legally cannot ship B2B invoices for the duration of the outage. NIC's 24-hour reporting window is unforgiving.</w:t>
      </w:r>
    </w:p>
    <w:p>
      <w:r>
        <w:rPr>
          <w:rFonts w:ascii="Arial" w:cs="Arial" w:eastAsia="Arial" w:hAnsi="Arial"/>
        </w:rPr>
        <w:t xml:space="preserve">ClearTax is GSP-3 (since 2018), bigger market share than Cygnet but slower API doc updates. Their dev console + sandbox is the cleanest among GSPs after Cygnet. Same shape as Cygnet (auth → encrypted payload → POST → ack) — failover should be a flag flip, not a rewrite.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· Procurement (defer until Cygnet is live)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Visit cleartax.in/gsp OR call +91 80 6190 5000 once Cygnet is in production for ≥30 days. Cygnet-then-ClearTax order keeps initial complexity bounded.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Sales call (~30 min). Pricing tier mirrors Cygnet's: ₹3,000-5,000/month for first 1,000 IRNs/day.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ClearTax pulls business KYC docs from your Cygnet onboarding (we authorize this) — saves 2-3 days of 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Receive: dev-console URL, OAuth2 credentials, owner_id, sandbox URL, API doc PDF, Postman collection.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Sandbox is immediately usable. Production credentials issued after 25+ successful sandbox submissions.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· Sandbox + production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Base 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https://einvapi-sandbox.cleartax.in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https://einvapi.cleartax.in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·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CLEARTAX_BASE_URL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https://einvapi-sandbox.cleartax.in OR https://einvapi.cleartax.in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CLEARTAX_AUTH_TOKEN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bearer token from dev console. 1-hour TTL — refreshed automatically by the adapter at 50min via PATH_AUTH_REFRESH.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CLEARTAX_OWNER_ID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Per-shop owner_id from onboarding (UUID-style).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CLEARTAX_GSTIN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shop's 15-char GSTIN.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CLEARTAX_SANDBOX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override — 'true' forces sandbox even if base URL points to prod.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· Failover from Cygnet (the actual reason this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Cygnet outage indicators: Cygnet status page reports outage OR PharmaCare logs 3 consecutive submissions failing with non-config errors within 5 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Founder action: SQL — UPDATE shops SET einvoice_vendor='cleartax' WHERE id='&lt;shop_id&gt;'; (Adapter loads per-request, no restart needed.)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Verify: ring a sample bill, check IRN tab in ReturnsScreen — vendor column should show 'cleartax', status flips submitted → acked.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Recovery: when Cygnet is healthy ≥6h, flip back. Maintain ability to split-route across vendors per-shop in a multi-store deploy.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· Build + cargo feature flag</w:t>
      </w:r>
    </w:p>
    <w:p>
      <w:r>
        <w:rPr>
          <w:rFonts w:ascii="Arial" w:cs="Arial" w:eastAsia="Arial" w:hAnsi="Arial"/>
        </w:rPr>
        <w:t xml:space="preserve">Same pattern as Cygnet. The repo carries a </w:t>
      </w:r>
      <w:r>
        <w:rPr>
          <w:rFonts w:ascii="Consolas" w:cs="Consolas" w:eastAsia="Consolas" w:hAnsi="Consolas"/>
          <w:sz w:val="18"/>
          <w:szCs w:val="18"/>
        </w:rPr>
        <w:t xml:space="preserve">cleartax-live</w:t>
      </w:r>
      <w:r>
        <w:rPr>
          <w:rFonts w:ascii="Arial" w:cs="Arial" w:eastAsia="Arial" w:hAnsi="Arial"/>
        </w:rPr>
        <w:t xml:space="preserve"> feature in apps/desktop/src-tauri/Cargo.toml. Default builds compile without reqwest. Enable for testing:</w:t>
      </w:r>
    </w:p>
    <w:p>
      <w:p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cargo build --features cleartax-live --release</w:t>
      </w:r>
    </w:p>
    <w:p>
      <w:r>
        <w:rPr>
          <w:rFonts w:ascii="Arial" w:cs="Arial" w:eastAsia="Arial" w:hAnsi="Arial"/>
        </w:rPr>
        <w:t xml:space="preserve">Both --features cygnet-live AND --features cleartax-live can be enabled simultaneously for multi-vendor builds. Default: both off.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· Compliance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Audit trail identical to Cygnet path — irn_records.vendor column captures which GSP issued the IRN.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DPDP: ClearTax data residency clause same as Cygnet (Indian-hosted). Confirm signed DPA before prod cutover.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Cost discipline: paying for both Cygnet + ClearTax simultaneously costs ~₹6-10k/month. For pilot phase (10 shops) accept the cost; at 50+ shops re-evaluate whether one primary suffices with a hot-standby clause.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ClearTax GSP Onboarding (secondary vendor)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2026-04-27T08:45:11.477Z</dcterms:created>
  <dcterms:modified xsi:type="dcterms:W3CDTF">2026-04-27T08:45:11.477Z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