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Subtitle"/>
        <w:spacing w:before="0" w:after="720" w:line="360" w:lineRule="auto"/>
        <w:ind w:firstLine="0"/>
        <w:jc w:val="center"/>
      </w:pPr>
      <w:r>
        <w:rPr>
          <w:rFonts w:ascii="Times New Roman" w:hAnsi="Times New Roman" w:eastAsia="黑体" w:cs="Times New Roman"/>
          <w:b/>
          <w:color w:val="000000"/>
          <w:sz w:val="28"/>
        </w:rPr>
        <w:t xml:space="preserve">研究内容·创新点·章节目录·技术路线</w:t>
      </w:r>
    </w:p>
    <w:bookmarkStart w:id="38" w:name="地铁车轮轮径磨耗趋势预测研究"/>
    <w:p>
      <w:pPr>
        <w:pStyle w:val="Heading1"/>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FirstParagraph"/>
        <w:spacing w:before="0" w:after="720" w:line="360" w:lineRule="auto"/>
        <w:ind w:firstLine="0"/>
        <w:jc w:val="center"/>
      </w:pPr>
      <w:r>
        <w:rPr>
          <w:bCs/>
          <w:rFonts w:ascii="Times New Roman" w:hAnsi="Times New Roman" w:eastAsia="黑体" w:cs="Times New Roman"/>
          <w:b/>
          <w:color w:val="000000"/>
          <w:sz w:val="28"/>
        </w:rPr>
        <w:t xml:space="preserve">研究内容 · 创新点 · 章节目录 · 技术路线</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Start w:id="26" w:name="一研究内容"/>
    <w:p>
      <w:pPr>
        <w:pStyle w:val="Heading2"/>
        <w:spacing w:before="240" w:after="120" w:line="360" w:lineRule="auto"/>
        <w:ind w:firstLine="0"/>
      </w:pPr>
      <w:r>
        <w:rPr>
          <w:rFonts w:ascii="Times New Roman" w:hAnsi="Times New Roman" w:eastAsia="黑体" w:cs="Times New Roman"/>
          <w:b/>
          <w:color w:val="000000"/>
          <w:sz w:val="28"/>
        </w:rPr>
        <w:t xml:space="preserve">一、研究内容</w:t>
      </w:r>
    </w:p>
    <w:p>
      <w:pPr>
        <w:pStyle w:val="FirstParagraph"/>
        <w:spacing w:before="0" w:after="120" w:line="360" w:lineRule="auto"/>
        <w:ind w:firstLine="420"/>
      </w:pPr>
      <w:r>
        <w:rPr>
          <w:rFonts w:ascii="Times New Roman" w:hAnsi="Times New Roman" w:eastAsia="宋体" w:cs="Times New Roman"/>
          <w:color w:val="000000"/>
          <w:sz w:val="24"/>
        </w:rPr>
        <w:t xml:space="preserve">本文面向地铁车辆运营过程中车轮轮径随运行里程逐渐减小的问题，开展基于 Simpack 磨耗机理仿真、连续实测轮径数据和变分贝叶斯神经网络的轮径磨耗趋势预测研究。研究对象为地铁车辆车轮轮径，预测目标为镟修周期内车轮轮径磨耗量的演变趋势。</w:t>
      </w:r>
    </w:p>
    <w:p>
      <w:pPr>
        <w:pStyle w:val="BodyText"/>
        <w:spacing w:before="0" w:after="120" w:line="360" w:lineRule="auto"/>
        <w:ind w:firstLine="420"/>
      </w:pPr>
      <w:r>
        <w:rPr>
          <w:rFonts w:ascii="Times New Roman" w:hAnsi="Times New Roman" w:eastAsia="宋体" w:cs="Times New Roman"/>
          <w:color w:val="000000"/>
          <w:sz w:val="24"/>
        </w:rPr>
        <w:t xml:space="preserve">本文</w:t>
      </w:r>
      <w:r>
        <w:rPr>
          <w:bCs/>
          <w:rFonts w:ascii="Times New Roman" w:hAnsi="Times New Roman" w:eastAsia="宋体" w:cs="Times New Roman"/>
          <w:b/>
          <w:color w:val="000000"/>
          <w:sz w:val="24"/>
        </w:rPr>
        <w:t xml:space="preserve">不以镟修阈值预测、超限时机估计、线路加权或多参数联合预测</w:t>
      </w:r>
      <w:r>
        <w:rPr>
          <w:rFonts w:ascii="Times New Roman" w:hAnsi="Times New Roman" w:eastAsia="宋体" w:cs="Times New Roman"/>
          <w:color w:val="000000"/>
          <w:sz w:val="24"/>
        </w:rPr>
        <w:t xml:space="preserve">作为主要研究目标，而是重点解决连续运营条件下车轮轮径磨耗趋势预测精度不足、预测结果缺少物理约束以及预测区间表达不充分等问题。</w:t>
      </w:r>
    </w:p>
    <w:p>
      <w:pPr>
        <w:pStyle w:val="BodyText"/>
        <w:spacing w:before="0" w:after="120" w:line="360" w:lineRule="auto"/>
        <w:ind w:firstLine="420"/>
      </w:pPr>
      <w:r>
        <w:rPr>
          <w:rFonts w:ascii="Times New Roman" w:hAnsi="Times New Roman" w:eastAsia="宋体" w:cs="Times New Roman"/>
          <w:color w:val="000000"/>
          <w:sz w:val="24"/>
        </w:rPr>
        <w:t xml:space="preserve">本文主要研究内容如下。</w:t>
      </w:r>
    </w:p>
    <w:bookmarkStart w:id="20" w:name="一地铁车轮磨耗机理与-simpack-磨耗速率仿真分析"/>
    <w:p>
      <w:pPr>
        <w:pStyle w:val="Heading3"/>
        <w:spacing w:before="120" w:after="60" w:line="360" w:lineRule="auto"/>
        <w:ind w:firstLine="0"/>
      </w:pPr>
      <w:r>
        <w:rPr>
          <w:rFonts w:ascii="Times New Roman" w:hAnsi="Times New Roman" w:eastAsia="楷体" w:cs="Times New Roman"/>
          <w:b/>
          <w:color w:val="000000"/>
          <w:sz w:val="24"/>
        </w:rPr>
        <w:t xml:space="preserve">（一）地铁车轮磨耗机理与 Simpack 磨耗速率仿真分析</w:t>
      </w:r>
    </w:p>
    <w:p>
      <w:pPr>
        <w:pStyle w:val="FirstParagraph"/>
        <w:spacing w:before="0" w:after="120" w:line="360" w:lineRule="auto"/>
        <w:ind w:firstLine="420"/>
      </w:pPr>
      <w:r>
        <w:rPr>
          <w:rFonts w:ascii="Times New Roman" w:hAnsi="Times New Roman" w:eastAsia="宋体" w:cs="Times New Roman"/>
          <w:color w:val="000000"/>
          <w:sz w:val="24"/>
        </w:rPr>
        <w:t xml:space="preserve">基于轮轨接触理论和 Archard 磨耗模型，分析地铁车轮踏面磨耗的形成机理。Archard 磨耗模型表明，车轮磨耗与轮轨法向力、切向力、相对滑动距离、蠕滑状态和材料磨耗系数等因素密切相关。基于已建立的 Simpack 地铁车辆动力学模型，设置牵引和制动等典型运行状态，提取轮轨力、纵向力、蠕滑相关量和踏面磨耗深度等仿真结果，分析牵引/制动状态对车轮踏面磨耗速率的影响规律。</w:t>
      </w:r>
    </w:p>
    <w:p>
      <w:pPr>
        <w:pStyle w:val="BodyText"/>
        <w:spacing w:before="0" w:after="120" w:line="360" w:lineRule="auto"/>
        <w:ind w:firstLine="420"/>
      </w:pPr>
      <w:r>
        <w:rPr>
          <w:rFonts w:ascii="Times New Roman" w:hAnsi="Times New Roman" w:eastAsia="宋体" w:cs="Times New Roman"/>
          <w:color w:val="000000"/>
          <w:sz w:val="24"/>
        </w:rPr>
        <w:t xml:space="preserve">由于 Simpack 直接输出的是踏面局部法向磨耗深度，而实测数据主要为轮径等几何尺寸参数，因此本文不将 Simpack 磨耗深度直接作为与实测轮径同类型的训练标签，而是将其用于提取磨耗速率的物理合理范围。对于轮径测量基准位置</w:t>
      </w:r>
      <w:r>
        <w:rPr>
          <w:rFonts w:ascii="Times New Roman" w:hAnsi="Times New Roman" w:eastAsia="宋体" w:cs="Times New Roman"/>
          <w:color w:val="000000"/>
          <w:sz w:val="24"/>
        </w:rPr>
        <w:t xml:space="preserve"> </w:t>
      </w:r>
      <m:oMath>
        <m:sSub>
          <m:e>
            <m:r>
              <m:t>y</m:t>
            </m:r>
          </m:e>
          <m:sub>
            <m:r>
              <m:t>m</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处的仿真磨耗深度</w:t>
      </w:r>
      <w:r>
        <w:rPr>
          <w:rFonts w:ascii="Times New Roman" w:hAnsi="Times New Roman" w:eastAsia="宋体" w:cs="Times New Roman"/>
          <w:color w:val="000000"/>
          <w:sz w:val="24"/>
        </w:rPr>
        <w:t xml:space="preserve"> </w:t>
      </w:r>
      <m:oMath>
        <m:r>
          <m:t>h</m:t>
        </m:r>
        <m:d>
          <m:dPr>
            <m:begChr m:val="("/>
            <m:endChr m:val=")"/>
            <m:sepChr m:val=""/>
            <m:grow/>
          </m:dPr>
          <m:e>
            <m:sSub>
              <m:e>
                <m:r>
                  <m:t>y</m:t>
                </m:r>
              </m:e>
              <m:sub>
                <m:r>
                  <m:t>m</m:t>
                </m:r>
              </m:sub>
            </m:sSub>
            <m:r>
              <m:rPr>
                <m:sty m:val="p"/>
              </m:rPr>
              <m:t>,</m:t>
            </m:r>
            <m:r>
              <m:t>d</m:t>
            </m:r>
          </m:e>
        </m:d>
      </m:oMath>
      <w:r>
        <w:rPr>
          <w:rFonts w:ascii="Times New Roman" w:hAnsi="Times New Roman" w:eastAsia="宋体" w:cs="Times New Roman"/>
          <w:color w:val="000000"/>
          <w:sz w:val="24"/>
        </w:rPr>
        <w:t xml:space="preserve">，近似换算为轮径磨耗量：</w:t>
      </w:r>
    </w:p>
    <w:p>
      <w:pPr>
        <w:pStyle w:val="BodyText"/>
        <w:spacing w:before="0" w:after="120" w:line="360" w:lineRule="auto"/>
        <w:ind w:firstLine="420"/>
      </w:pPr>
      <m:oMathPara>
        <m:oMathParaPr>
          <m:jc m:val="center"/>
        </m:oMathParaPr>
        <m:oMath>
          <m:sSub>
            <m:e>
              <m:r>
                <m:t>W</m:t>
              </m:r>
            </m:e>
            <m:sub>
              <m:r>
                <m:t>D</m:t>
              </m:r>
              <m:r>
                <m:rPr>
                  <m:sty m:val="p"/>
                </m:rPr>
                <m:t>,</m:t>
              </m:r>
              <m:r>
                <m:rPr>
                  <m:nor/>
                  <m:sty m:val="p"/>
                </m:rPr>
                <m:t>sim</m:t>
              </m:r>
            </m:sub>
          </m:sSub>
          <m:d>
            <m:dPr>
              <m:begChr m:val="("/>
              <m:endChr m:val=")"/>
              <m:sepChr m:val=""/>
              <m:grow/>
            </m:dPr>
            <m:e>
              <m:r>
                <m:t>d</m:t>
              </m:r>
            </m:e>
          </m:d>
          <m:r>
            <m:rPr>
              <m:sty m:val="p"/>
            </m:rPr>
            <m:t>=</m:t>
          </m:r>
          <m:r>
            <m:t>2</m:t>
          </m:r>
          <m:r>
            <m:t>h</m:t>
          </m:r>
          <m:d>
            <m:dPr>
              <m:begChr m:val="("/>
              <m:endChr m:val=")"/>
              <m:sepChr m:val=""/>
              <m:grow/>
            </m:dPr>
            <m:e>
              <m:sSub>
                <m:e>
                  <m:r>
                    <m:t>y</m:t>
                  </m:r>
                </m:e>
                <m:sub>
                  <m:r>
                    <m:t>m</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进一步计算不同仿真工况下的轮径磨耗速率：</w:t>
      </w:r>
    </w:p>
    <w:p>
      <w:pPr>
        <w:pStyle w:val="BodyText"/>
        <w:spacing w:before="0" w:after="120" w:line="360" w:lineRule="auto"/>
        <w:ind w:firstLine="420"/>
      </w:pPr>
      <m:oMathPara>
        <m:oMathParaPr>
          <m:jc m:val="center"/>
        </m:oMathParaPr>
        <m:oMath>
          <m:sSub>
            <m:e>
              <m:r>
                <m:t>r</m:t>
              </m:r>
            </m:e>
            <m:sub>
              <m:r>
                <m:rPr>
                  <m:nor/>
                  <m:sty m:val="p"/>
                </m:rPr>
                <m:t>sim</m:t>
              </m:r>
              <m:r>
                <m:rPr>
                  <m:sty m:val="p"/>
                </m:rPr>
                <m:t>,</m:t>
              </m:r>
              <m:r>
                <m:t>k</m:t>
              </m:r>
            </m:sub>
          </m:sSub>
          <m:r>
            <m:rPr>
              <m:sty m:val="p"/>
            </m:rPr>
            <m:t>=</m:t>
          </m:r>
          <m:f>
            <m:fPr>
              <m:type m:val="bar"/>
            </m:fPr>
            <m:num>
              <m:sSub>
                <m:e>
                  <m:r>
                    <m:t>W</m:t>
                  </m:r>
                </m:e>
                <m:sub>
                  <m:r>
                    <m:t>D</m:t>
                  </m:r>
                  <m:r>
                    <m:rPr>
                      <m:sty m:val="p"/>
                    </m:rPr>
                    <m:t>,</m:t>
                  </m:r>
                  <m:r>
                    <m:rPr>
                      <m:nor/>
                      <m:sty m:val="p"/>
                    </m:rPr>
                    <m:t>sim</m:t>
                  </m:r>
                  <m:r>
                    <m:rPr>
                      <m:sty m:val="p"/>
                    </m:rPr>
                    <m:t>,</m:t>
                  </m:r>
                  <m:r>
                    <m:t>k</m:t>
                  </m:r>
                </m:sub>
              </m:sSub>
              <m:d>
                <m:dPr>
                  <m:begChr m:val="("/>
                  <m:endChr m:val=")"/>
                  <m:sepChr m:val=""/>
                  <m:grow/>
                </m:dPr>
                <m:e>
                  <m:sSub>
                    <m:e>
                      <m:r>
                        <m:t>d</m:t>
                      </m:r>
                    </m:e>
                    <m:sub>
                      <m:r>
                        <m:t>2</m:t>
                      </m:r>
                    </m:sub>
                  </m:sSub>
                </m:e>
              </m:d>
              <m:r>
                <m:rPr>
                  <m:sty m:val="p"/>
                </m:rPr>
                <m:t>−</m:t>
              </m:r>
              <m:sSub>
                <m:e>
                  <m:r>
                    <m:t>W</m:t>
                  </m:r>
                </m:e>
                <m:sub>
                  <m:r>
                    <m:t>D</m:t>
                  </m:r>
                  <m:r>
                    <m:rPr>
                      <m:sty m:val="p"/>
                    </m:rPr>
                    <m:t>,</m:t>
                  </m:r>
                  <m:r>
                    <m:rPr>
                      <m:nor/>
                      <m:sty m:val="p"/>
                    </m:rPr>
                    <m:t>sim</m:t>
                  </m:r>
                  <m:r>
                    <m:rPr>
                      <m:sty m:val="p"/>
                    </m:rPr>
                    <m:t>,</m:t>
                  </m:r>
                  <m:r>
                    <m:t>k</m:t>
                  </m:r>
                </m:sub>
              </m:sSub>
              <m:d>
                <m:dPr>
                  <m:begChr m:val="("/>
                  <m:endChr m:val=")"/>
                  <m:sepChr m:val=""/>
                  <m:grow/>
                </m:dPr>
                <m:e>
                  <m:sSub>
                    <m:e>
                      <m:r>
                        <m:t>d</m:t>
                      </m:r>
                    </m:e>
                    <m:sub>
                      <m:r>
                        <m:t>1</m:t>
                      </m:r>
                    </m:sub>
                  </m:sSub>
                </m:e>
              </m:d>
            </m:num>
            <m:den>
              <m:sSub>
                <m:e>
                  <m:r>
                    <m:t>d</m:t>
                  </m:r>
                </m:e>
                <m:sub>
                  <m:r>
                    <m:t>2</m:t>
                  </m:r>
                </m:sub>
              </m:sSub>
              <m:r>
                <m:rPr>
                  <m:sty m:val="p"/>
                </m:rPr>
                <m:t>−</m:t>
              </m:r>
              <m:sSub>
                <m:e>
                  <m:r>
                    <m:t>d</m:t>
                  </m:r>
                </m:e>
                <m:sub>
                  <m:r>
                    <m:t>1</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由此得到仿真磨耗速率集合：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sim</m:t>
              </m:r>
            </m:sub>
          </m:sSub>
          <m:r>
            <m:rPr>
              <m:sty m:val="p"/>
            </m:rPr>
            <m:t>=</m:t>
          </m:r>
          <m:r>
            <m:rPr>
              <m:sty m:val="p"/>
            </m:rPr>
            <m:t>{</m:t>
          </m:r>
          <m:sSub>
            <m:e>
              <m:r>
                <m:t>r</m:t>
              </m:r>
            </m:e>
            <m:sub>
              <m:r>
                <m:rPr>
                  <m:nor/>
                  <m:sty m:val="p"/>
                </m:rPr>
                <m:t>sim</m:t>
              </m:r>
              <m:r>
                <m:rPr>
                  <m:sty m:val="p"/>
                </m:rPr>
                <m:t>,</m:t>
              </m:r>
              <m:r>
                <m:t>k</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该集合用于后续构建轮径磨耗趋势预测模型中的磨耗速率物理约束范围。</w:t>
      </w:r>
    </w:p>
    <w:bookmarkEnd w:id="20"/>
    <w:bookmarkStart w:id="21" w:name="二连续轮径实测数据处理与磨耗规律分析"/>
    <w:p>
      <w:pPr>
        <w:pStyle w:val="Heading3"/>
        <w:spacing w:before="120" w:after="60" w:line="360" w:lineRule="auto"/>
        <w:ind w:firstLine="0"/>
      </w:pPr>
      <w:r>
        <w:rPr>
          <w:rFonts w:ascii="Times New Roman" w:hAnsi="Times New Roman" w:eastAsia="楷体" w:cs="Times New Roman"/>
          <w:b/>
          <w:color w:val="000000"/>
          <w:sz w:val="24"/>
        </w:rPr>
        <w:t xml:space="preserve">（二）连续轮径实测数据处理与磨耗规律分析</w:t>
      </w:r>
    </w:p>
    <w:p>
      <w:pPr>
        <w:pStyle w:val="FirstParagraph"/>
        <w:spacing w:before="0" w:after="120" w:line="360" w:lineRule="auto"/>
        <w:ind w:firstLine="420"/>
      </w:pPr>
      <w:r>
        <w:rPr>
          <w:rFonts w:ascii="Times New Roman" w:hAnsi="Times New Roman" w:eastAsia="宋体" w:cs="Times New Roman"/>
          <w:color w:val="000000"/>
          <w:sz w:val="24"/>
        </w:rPr>
        <w:t xml:space="preserve">基于 400 天、960 个车轮的连续轮径检测数据，结合每个检测日期对应的累计运行里程、完整镟修日期、镟修后轮径以及轮位编号，建立地铁车轮轮径磨耗分析数据集。以”单个车轮在一个镟修周期内的连续轮径磨耗序列”为基本建模单元，将每个车轮的镟修周期进行切分，并以镟修后首个有效轮径作为初始轮径</w:t>
      </w:r>
      <w:r>
        <w:rPr>
          <w:rFonts w:ascii="Times New Roman" w:hAnsi="Times New Roman" w:eastAsia="宋体" w:cs="Times New Roman"/>
          <w:color w:val="000000"/>
          <w:sz w:val="24"/>
        </w:rPr>
        <w:t xml:space="preserve"> </w:t>
      </w:r>
      <m:oMath>
        <m:sSub>
          <m:e>
            <m:r>
              <m:t>D</m:t>
            </m:r>
          </m:e>
          <m:sub>
            <m:r>
              <m:t>i</m:t>
            </m:r>
            <m:r>
              <m:rPr>
                <m:sty m:val="p"/>
              </m:rPr>
              <m:t>,</m:t>
            </m:r>
            <m:r>
              <m:t>0</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轮径磨耗量定义为：</w:t>
      </w:r>
    </w:p>
    <w:p>
      <w:pPr>
        <w:pStyle w:val="BodyText"/>
        <w:spacing w:before="0" w:after="120" w:line="360" w:lineRule="auto"/>
        <w:ind w:firstLine="420"/>
      </w:pPr>
      <m:oMathPara>
        <m:oMathParaPr>
          <m:jc m:val="center"/>
        </m:oMathParaPr>
        <m:oMath>
          <m:sSub>
            <m:e>
              <m:r>
                <m:t>W</m:t>
              </m:r>
            </m:e>
            <m:sub>
              <m:r>
                <m:t>i</m:t>
              </m:r>
              <m:r>
                <m:rPr>
                  <m:sty m:val="p"/>
                </m:rPr>
                <m:t>,</m:t>
              </m:r>
              <m:r>
                <m:t>t</m:t>
              </m:r>
            </m:sub>
          </m:sSub>
          <m:r>
            <m:rPr>
              <m:sty m:val="p"/>
            </m:rPr>
            <m:t>=</m:t>
          </m:r>
          <m:sSub>
            <m:e>
              <m:r>
                <m:t>D</m:t>
              </m:r>
            </m:e>
            <m:sub>
              <m:r>
                <m:t>i</m:t>
              </m:r>
              <m:r>
                <m:rPr>
                  <m:sty m:val="p"/>
                </m:rPr>
                <m:t>,</m:t>
              </m:r>
              <m:r>
                <m:t>0</m:t>
              </m:r>
            </m:sub>
          </m:sSub>
          <m:r>
            <m:rPr>
              <m:sty m:val="p"/>
            </m:rPr>
            <m:t>−</m:t>
          </m:r>
          <m:sSub>
            <m:e>
              <m:r>
                <m:t>D</m:t>
              </m:r>
            </m:e>
            <m:sub>
              <m:r>
                <m:t>i</m:t>
              </m:r>
              <m:r>
                <m:rPr>
                  <m:sty m:val="p"/>
                </m:rPr>
                <m:t>,</m:t>
              </m:r>
              <m:r>
                <m:t>t</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D</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个车轮在第</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个检测点的实测轮径，</w:t>
      </w:r>
      <m:oMath>
        <m:sSub>
          <m:e>
            <m:r>
              <m:t>W</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为对应的轮径磨耗量。</w:t>
      </w:r>
    </w:p>
    <w:p>
      <w:pPr>
        <w:pStyle w:val="BodyText"/>
        <w:spacing w:before="0" w:after="120" w:line="360" w:lineRule="auto"/>
        <w:ind w:firstLine="420"/>
      </w:pPr>
      <w:r>
        <w:rPr>
          <w:rFonts w:ascii="Times New Roman" w:hAnsi="Times New Roman" w:eastAsia="宋体" w:cs="Times New Roman"/>
          <w:color w:val="000000"/>
          <w:sz w:val="24"/>
        </w:rPr>
        <w:t xml:space="preserve">为降低检测噪声对磨耗趋势分析的影响，采用因果滑动中位数方法对轮径序列进行平滑处理：</w:t>
      </w:r>
    </w:p>
    <w:p>
      <w:pPr>
        <w:pStyle w:val="BodyText"/>
        <w:spacing w:before="0" w:after="120" w:line="360" w:lineRule="auto"/>
        <w:ind w:firstLine="420"/>
      </w:pPr>
      <m:oMathPara>
        <m:oMathParaPr>
          <m:jc m:val="center"/>
        </m:oMathParaPr>
        <m:oMath>
          <m:sSub>
            <m:e>
              <m:acc>
                <m:accPr>
                  <m:chr m:val="̃"/>
                </m:accPr>
                <m:e>
                  <m:r>
                    <m:t>D</m:t>
                  </m:r>
                </m:e>
              </m:acc>
            </m:e>
            <m:sub>
              <m:r>
                <m:t>i</m:t>
              </m:r>
              <m:r>
                <m:rPr>
                  <m:sty m:val="p"/>
                </m:rPr>
                <m:t>,</m:t>
              </m:r>
              <m:r>
                <m:t>t</m:t>
              </m:r>
            </m:sub>
          </m:sSub>
          <m:r>
            <m:rPr>
              <m:sty m:val="p"/>
            </m:rPr>
            <m:t>=</m:t>
          </m:r>
          <m:r>
            <m:rPr>
              <m:nor/>
              <m:sty m:val="p"/>
            </m:rPr>
            <m:t>Median</m:t>
          </m:r>
          <m:d>
            <m:dPr>
              <m:begChr m:val="("/>
              <m:endChr m:val=")"/>
              <m:sepChr m:val=""/>
              <m:grow/>
            </m:dPr>
            <m:e>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其中，窗口仅使用当前及历史检测数据，避免引入未来信息。随后基于平滑后的轮径序列计算轮径磨耗量，分析不同车辆、不同轴位、左右轮之间的磨耗差异。</w:t>
      </w:r>
    </w:p>
    <w:p>
      <w:pPr>
        <w:pStyle w:val="BodyText"/>
        <w:spacing w:before="0" w:after="120" w:line="360" w:lineRule="auto"/>
        <w:ind w:firstLine="420"/>
      </w:pPr>
      <w:r>
        <w:rPr>
          <w:rFonts w:ascii="Times New Roman" w:hAnsi="Times New Roman" w:eastAsia="宋体" w:cs="Times New Roman"/>
          <w:color w:val="000000"/>
          <w:sz w:val="24"/>
        </w:rPr>
        <w:t xml:space="preserve">同时，采用滑动窗口线性回归方法提取实测轮径磨耗速率：</w:t>
      </w:r>
    </w:p>
    <w:p>
      <w:pPr>
        <w:pStyle w:val="BodyText"/>
        <w:spacing w:before="0" w:after="120" w:line="360" w:lineRule="auto"/>
        <w:ind w:firstLine="420"/>
      </w:pPr>
      <m:oMathPara>
        <m:oMathParaPr>
          <m:jc m:val="center"/>
        </m:oMathParaPr>
        <m:oMath>
          <m:sSub>
            <m:e>
              <m:r>
                <m:t>r</m:t>
              </m:r>
            </m:e>
            <m:sub>
              <m:r>
                <m:rPr>
                  <m:nor/>
                  <m:sty m:val="p"/>
                </m:rPr>
                <m:t>real</m:t>
              </m:r>
              <m:r>
                <m:rPr>
                  <m:sty m:val="p"/>
                </m:rPr>
                <m:t>,</m:t>
              </m:r>
              <m:r>
                <m:t>i</m:t>
              </m:r>
              <m:r>
                <m:rPr>
                  <m:sty m:val="p"/>
                </m:rPr>
                <m:t>,</m:t>
              </m:r>
              <m:r>
                <m:t>t</m:t>
              </m:r>
            </m:sub>
          </m:sSub>
          <m:r>
            <m:rPr>
              <m:sty m:val="p"/>
            </m:rPr>
            <m:t>=</m:t>
          </m:r>
          <m:r>
            <m:rPr>
              <m:nor/>
              <m:sty m:val="p"/>
            </m:rPr>
            <m:t>Slope</m:t>
          </m:r>
          <m:r>
            <m:t>​</m:t>
          </m:r>
          <m:d>
            <m:dPr>
              <m:begChr m:val="("/>
              <m:endChr m:val=")"/>
              <m:sepChr m:val=""/>
              <m:grow/>
            </m:dPr>
            <m:e>
              <m:sSub>
                <m:e>
                  <m:r>
                    <m:t>W</m:t>
                  </m:r>
                </m:e>
                <m:sub>
                  <m:r>
                    <m:t>i</m:t>
                  </m:r>
                  <m:r>
                    <m:rPr>
                      <m:sty m:val="p"/>
                    </m:rPr>
                    <m:t>,</m:t>
                  </m:r>
                  <m:r>
                    <m:t>t</m:t>
                  </m:r>
                  <m:r>
                    <m:rPr>
                      <m:sty m:val="p"/>
                    </m:rPr>
                    <m:t>−</m:t>
                  </m:r>
                  <m:r>
                    <m:t>m</m:t>
                  </m:r>
                  <m:r>
                    <m:rPr>
                      <m:sty m:val="p"/>
                    </m:rPr>
                    <m:t>:</m:t>
                  </m:r>
                  <m:r>
                    <m:t>t</m:t>
                  </m:r>
                </m:sub>
              </m:sSub>
              <m:r>
                <m:rPr>
                  <m:sty m:val="p"/>
                </m:rPr>
                <m:t>,</m:t>
              </m:r>
              <m:r>
                <m:t> </m:t>
              </m:r>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得到实测磨耗速率集合：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real</m:t>
              </m:r>
            </m:sub>
          </m:sSub>
          <m:r>
            <m:rPr>
              <m:sty m:val="p"/>
            </m:rPr>
            <m:t>=</m:t>
          </m:r>
          <m:r>
            <m:rPr>
              <m:sty m:val="p"/>
            </m:rPr>
            <m:t>{</m:t>
          </m:r>
          <m:sSub>
            <m:e>
              <m:r>
                <m:t>r</m:t>
              </m:r>
            </m:e>
            <m:sub>
              <m:r>
                <m:rPr>
                  <m:nor/>
                  <m:sty m:val="p"/>
                </m:rPr>
                <m:t>real</m:t>
              </m:r>
              <m:r>
                <m:rPr>
                  <m:sty m:val="p"/>
                </m:rPr>
                <m:t>,</m:t>
              </m:r>
              <m:r>
                <m:t>i</m:t>
              </m:r>
              <m:r>
                <m:rPr>
                  <m:sty m:val="p"/>
                </m:rPr>
                <m:t>,</m:t>
              </m:r>
              <m:r>
                <m:t>t</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该集合与 Simpack 仿真磨耗速率集合共同用于确定预测模型中的磨耗速率合理范围。</w:t>
      </w:r>
    </w:p>
    <w:bookmarkEnd w:id="21"/>
    <w:bookmarkStart w:id="22" w:name="三群体退化基准构建与个体残差建模"/>
    <w:p>
      <w:pPr>
        <w:pStyle w:val="Heading3"/>
        <w:spacing w:before="120" w:after="60" w:line="360" w:lineRule="auto"/>
        <w:ind w:firstLine="0"/>
      </w:pPr>
      <w:r>
        <w:rPr>
          <w:rFonts w:ascii="Times New Roman" w:hAnsi="Times New Roman" w:eastAsia="楷体" w:cs="Times New Roman"/>
          <w:b/>
          <w:color w:val="000000"/>
          <w:sz w:val="24"/>
        </w:rPr>
        <w:t xml:space="preserve">（三）群体退化基准构建与个体残差建模</w:t>
      </w:r>
    </w:p>
    <w:p>
      <w:pPr>
        <w:pStyle w:val="FirstParagraph"/>
        <w:spacing w:before="0" w:after="120" w:line="360" w:lineRule="auto"/>
        <w:ind w:firstLine="420"/>
      </w:pPr>
      <w:r>
        <w:rPr>
          <w:rFonts w:ascii="Times New Roman" w:hAnsi="Times New Roman" w:eastAsia="宋体" w:cs="Times New Roman"/>
          <w:color w:val="000000"/>
          <w:sz w:val="24"/>
        </w:rPr>
        <w:t xml:space="preserve">为描述车轮轮径磨耗的总体演变趋势，本文首先对 960 个车轮的磨耗序列按照局部累计里程进行对齐。由于不同车轮检测时刻和累计里程点并不完全一致，本文采用里程分箱方法构建群体平均磨耗曲线。将局部累计里程划分为若干等间隔区间，在每个里程区间内统计对应车轮磨耗量的均值或中位数，得到群体平均磨耗曲线：</w:t>
      </w:r>
    </w:p>
    <w:p>
      <w:pPr>
        <w:pStyle w:val="BodyText"/>
        <w:spacing w:before="0" w:after="120" w:line="360" w:lineRule="auto"/>
        <w:ind w:firstLine="420"/>
      </w:pPr>
      <m:oMathPara>
        <m:oMathParaPr>
          <m:jc m:val="center"/>
        </m:oMathParaPr>
        <m:oMath>
          <m:acc>
            <m:accPr>
              <m:chr m:val="‾"/>
            </m:accPr>
            <m:e>
              <m:r>
                <m:t>W</m:t>
              </m:r>
            </m:e>
          </m:acc>
          <m:d>
            <m:dPr>
              <m:begChr m:val="("/>
              <m:endChr m:val=")"/>
              <m:sepChr m:val=""/>
              <m:grow/>
            </m:dPr>
            <m:e>
              <m:sSub>
                <m:e>
                  <m:r>
                    <m:t>d</m:t>
                  </m:r>
                </m:e>
                <m:sub>
                  <m:r>
                    <m:t>b</m:t>
                  </m:r>
                </m:sub>
              </m:sSub>
            </m:e>
          </m:d>
          <m:r>
            <m:rPr>
              <m:sty m:val="p"/>
            </m:rPr>
            <m:t>=</m:t>
          </m:r>
          <m:f>
            <m:fPr>
              <m:type m:val="bar"/>
            </m:fPr>
            <m:num>
              <m:r>
                <m:t>1</m:t>
              </m:r>
            </m:num>
            <m:den>
              <m:sSub>
                <m:e>
                  <m:r>
                    <m:t>N</m:t>
                  </m:r>
                </m:e>
                <m:sub>
                  <m:r>
                    <m:t>b</m:t>
                  </m:r>
                </m:sub>
              </m:sSub>
            </m:den>
          </m:f>
          <m:nary>
            <m:naryPr>
              <m:chr m:val="∑"/>
              <m:limLoc m:val="undOvr"/>
              <m:subHide m:val="off"/>
              <m:supHide m:val="on"/>
            </m:naryPr>
            <m:sub>
              <m:d>
                <m:dPr>
                  <m:begChr m:val="("/>
                  <m:endChr m:val=")"/>
                  <m:sepChr m:val=""/>
                  <m:grow/>
                </m:dPr>
                <m:e>
                  <m:r>
                    <m:t>i</m:t>
                  </m:r>
                  <m:r>
                    <m:rPr>
                      <m:sty m:val="p"/>
                    </m:rPr>
                    <m:t>,</m:t>
                  </m:r>
                  <m:r>
                    <m:t>t</m:t>
                  </m:r>
                </m:e>
              </m:d>
              <m:r>
                <m:rPr>
                  <m:sty m:val="p"/>
                </m:rPr>
                <m:t>∈</m:t>
              </m:r>
              <m:sSub>
                <m:e>
                  <m:r>
                    <m:t>B</m:t>
                  </m:r>
                </m:e>
                <m:sub>
                  <m:r>
                    <m:t>b</m:t>
                  </m:r>
                </m:sub>
              </m:sSub>
            </m:sub>
            <m:sup>
              <m:r>
                <m:t>​</m:t>
              </m:r>
            </m:sup>
            <m:e>
              <m:sSub>
                <m:e>
                  <m:r>
                    <m:t>W</m:t>
                  </m:r>
                </m:e>
                <m:sub>
                  <m:r>
                    <m:t>i</m:t>
                  </m:r>
                  <m:r>
                    <m:rPr>
                      <m:sty m:val="p"/>
                    </m:rPr>
                    <m:t>,</m:t>
                  </m:r>
                  <m:r>
                    <m:t>t</m:t>
                  </m:r>
                </m:sub>
              </m:sSub>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B</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表示第</w:t>
      </w:r>
      <w:r>
        <w:rPr>
          <w:rFonts w:ascii="Times New Roman" w:hAnsi="Times New Roman" w:eastAsia="宋体" w:cs="Times New Roman"/>
          <w:color w:val="000000"/>
          <w:sz w:val="24"/>
        </w:rPr>
        <w:t xml:space="preserve"> </w:t>
      </w:r>
      <m:oMath>
        <m:r>
          <m:t>b</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个里程区间，</w:t>
      </w:r>
      <m:oMath>
        <m:sSub>
          <m:e>
            <m:r>
              <m:t>N</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表示该区间内的样本数量。</w:t>
      </w:r>
    </w:p>
    <w:p>
      <w:pPr>
        <w:pStyle w:val="BodyText"/>
        <w:spacing w:before="0" w:after="120" w:line="360" w:lineRule="auto"/>
        <w:ind w:firstLine="420"/>
      </w:pPr>
      <w:r>
        <w:rPr>
          <w:rFonts w:ascii="Times New Roman" w:hAnsi="Times New Roman" w:eastAsia="宋体" w:cs="Times New Roman"/>
          <w:color w:val="000000"/>
          <w:sz w:val="24"/>
        </w:rPr>
        <w:t xml:space="preserve">为构建群体退化基准函数，选取线性函数、幂函数和指数修正函数作为候选模型：</w:t>
      </w:r>
    </w:p>
    <w:p>
      <w:pPr>
        <w:pStyle w:val="BodyText"/>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r>
            <m:t>d</m:t>
          </m:r>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sSup>
            <m:e>
              <m:r>
                <m:t>d</m:t>
              </m:r>
            </m:e>
            <m:sup>
              <m:r>
                <m:t>b</m:t>
              </m:r>
            </m:sup>
          </m:sSup>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sSub>
            <m:e>
              <m:r>
                <m:t>q</m:t>
              </m:r>
            </m:e>
            <m:sub>
              <m:r>
                <m:t>0</m:t>
              </m:r>
            </m:sub>
          </m:sSub>
          <m:d>
            <m:dPr>
              <m:begChr m:val="["/>
              <m:endChr m:val="]"/>
              <m:sepChr m:val=""/>
              <m:grow/>
            </m:dPr>
            <m:e>
              <m:r>
                <m:rPr>
                  <m:sty m:val="p"/>
                </m:rPr>
                <m:t>exp</m:t>
              </m:r>
              <m:d>
                <m:dPr>
                  <m:begChr m:val="("/>
                  <m:endChr m:val=")"/>
                  <m:sepChr m:val=""/>
                  <m:grow/>
                </m:dPr>
                <m:e>
                  <m:sSub>
                    <m:e>
                      <m:r>
                        <m:t>q</m:t>
                      </m:r>
                    </m:e>
                    <m:sub>
                      <m:r>
                        <m:t>1</m:t>
                      </m:r>
                    </m:sub>
                  </m:sSub>
                  <m:r>
                    <m:t>d</m:t>
                  </m:r>
                </m:e>
              </m:d>
              <m:r>
                <m:rPr>
                  <m:sty m:val="p"/>
                </m:rPr>
                <m:t>−</m:t>
              </m:r>
              <m:r>
                <m:t>1</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通过 AIC 和 BIC 信息准则比较不同函数形式对实测平均磨耗曲线的拟合效果，选取最适合的群体退化基准函数。</w:t>
      </w:r>
    </w:p>
    <w:p>
      <w:pPr>
        <w:pStyle w:val="BodyText"/>
        <w:spacing w:before="0" w:after="120" w:line="360" w:lineRule="auto"/>
        <w:ind w:firstLine="420"/>
      </w:pPr>
      <w:r>
        <w:rPr>
          <w:rFonts w:ascii="Times New Roman" w:hAnsi="Times New Roman" w:eastAsia="宋体" w:cs="Times New Roman"/>
          <w:color w:val="000000"/>
          <w:sz w:val="24"/>
        </w:rPr>
        <w:t xml:space="preserve">在此基础上，本文采用”群体退化基准 + 个体残差修正”的预测框架。最终模型表示为：</w:t>
      </w:r>
    </w:p>
    <w:p>
      <w:pPr>
        <w:pStyle w:val="BodyText"/>
        <w:spacing w:before="0" w:after="120" w:line="360" w:lineRule="auto"/>
        <w:ind w:firstLine="420"/>
      </w:pPr>
      <m:oMathPara>
        <m:oMathParaPr>
          <m:jc m:val="center"/>
        </m:oMathParaP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为群体退化基准函数，</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VI-BNN 残差预测网络，表示第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个车轮相对于群体平均磨耗趋势的个体偏差，</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为最终预测的轮径磨耗量。</w:t>
      </w:r>
    </w:p>
    <w:p>
      <w:pPr>
        <w:pStyle w:val="BodyText"/>
        <w:spacing w:before="0" w:after="120" w:line="360" w:lineRule="auto"/>
        <w:ind w:firstLine="420"/>
      </w:pPr>
      <w:r>
        <w:rPr>
          <w:rFonts w:ascii="Times New Roman" w:hAnsi="Times New Roman" w:eastAsia="宋体" w:cs="Times New Roman"/>
          <w:color w:val="000000"/>
          <w:sz w:val="24"/>
        </w:rPr>
        <w:t xml:space="preserve">输入特征</w:t>
      </w:r>
      <w:r>
        <w:rPr>
          <w:rFonts w:ascii="Times New Roman" w:hAnsi="Times New Roman" w:eastAsia="宋体" w:cs="Times New Roman"/>
          <w:color w:val="000000"/>
          <w:sz w:val="24"/>
        </w:rPr>
        <w:t xml:space="preserve"> </w:t>
      </w:r>
      <m:oMath>
        <m:sSub>
          <m:e>
            <m:r>
              <m:t>x</m:t>
            </m:r>
          </m:e>
          <m:sub>
            <m:r>
              <m:t>i</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包括局部累计里程、当前轮径磨耗量、群体基准磨耗量、近期磨耗率、车辆编号、轴位编号、左右轮编码、转向架位置以及牵引/制动工况统计量等。其中，近期磨耗率采用滑动窗口线性回归获得，用于表征车轮当前磨耗状态。</w:t>
      </w:r>
    </w:p>
    <w:bookmarkEnd w:id="22"/>
    <w:bookmarkStart w:id="23" w:name="四基于-mse-vi-bnn-的轮径磨耗趋势预测模型"/>
    <w:p>
      <w:pPr>
        <w:pStyle w:val="Heading3"/>
        <w:spacing w:before="120" w:after="60" w:line="360" w:lineRule="auto"/>
        <w:ind w:firstLine="0"/>
      </w:pPr>
      <w:r>
        <w:rPr>
          <w:rFonts w:ascii="Times New Roman" w:hAnsi="Times New Roman" w:eastAsia="楷体" w:cs="Times New Roman"/>
          <w:b/>
          <w:color w:val="000000"/>
          <w:sz w:val="24"/>
        </w:rPr>
        <w:t xml:space="preserve">（四）基于 MSE-VI-BNN 的轮径磨耗趋势预测模型</w:t>
      </w:r>
    </w:p>
    <w:p>
      <w:pPr>
        <w:pStyle w:val="FirstParagraph"/>
        <w:spacing w:before="0" w:after="120" w:line="360" w:lineRule="auto"/>
        <w:ind w:firstLine="420"/>
      </w:pPr>
      <w:r>
        <w:rPr>
          <w:rFonts w:ascii="Times New Roman" w:hAnsi="Times New Roman" w:eastAsia="宋体" w:cs="Times New Roman"/>
          <w:color w:val="000000"/>
          <w:sz w:val="24"/>
        </w:rPr>
        <w:t xml:space="preserve">针对传统 LSTM、GRU、BiLSTM 等确定性模型只能输出点预测结果、缺少不确定性表达的问题，本文采用变分推断贝叶斯神经网络建立轮径磨耗趋势预测模型。考虑到异方差高斯 NLL 损失在本数据集上训练不稳定，且 KL 散度项难以与似然项取得良好平衡，导致点预测精度下降，因此本文最终采用 MSE 作为主要数据拟合项。</w:t>
      </w:r>
    </w:p>
    <w:p>
      <w:pPr>
        <w:pStyle w:val="BodyText"/>
        <w:spacing w:before="0" w:after="120" w:line="360" w:lineRule="auto"/>
        <w:ind w:firstLine="420"/>
      </w:pPr>
      <w:r>
        <w:rPr>
          <w:rFonts w:ascii="Times New Roman" w:hAnsi="Times New Roman" w:eastAsia="宋体" w:cs="Times New Roman"/>
          <w:color w:val="000000"/>
          <w:sz w:val="24"/>
        </w:rPr>
        <w:t xml:space="preserve">在观测噪声近似同方差高斯的假设下，MSE 与负对数似然仅差一个常数项，因此 MSE-VI-BNN 仍属于概率建模框架，只是未显式学习异方差观测噪声项。模型损失函数定义为：</w:t>
      </w:r>
    </w:p>
    <w:p>
      <w:pPr>
        <w:pStyle w:val="BodyText"/>
        <w:spacing w:before="0" w:after="120" w:line="360" w:lineRule="auto"/>
        <w:ind w:firstLine="420"/>
      </w:pPr>
      <m:oMathPara>
        <m:oMathParaPr>
          <m:jc m:val="center"/>
        </m:oMathParaP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rate</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L</m:t>
            </m:r>
          </m:e>
          <m:sub>
            <m:r>
              <m:rPr>
                <m:nor/>
                <m:sty m:val="p"/>
              </m:rPr>
              <m:t>MSE-W</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为轮径磨耗量预测误差：</w:t>
      </w:r>
    </w:p>
    <w:p>
      <w:pPr>
        <w:pStyle w:val="BodyText"/>
        <w:spacing w:before="0" w:after="120" w:line="360" w:lineRule="auto"/>
        <w:ind w:firstLine="420"/>
      </w:pPr>
      <m:oMathPara>
        <m:oMathParaPr>
          <m:jc m:val="center"/>
        </m:oMathParaPr>
        <m:oMath>
          <m:sSub>
            <m:e>
              <m:r>
                <m:t>L</m:t>
              </m:r>
            </m:e>
            <m:sub>
              <m:r>
                <m:rPr>
                  <m:nor/>
                  <m:sty m:val="p"/>
                </m:rPr>
                <m:t>MSE-W</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W</m:t>
                          </m:r>
                        </m:e>
                        <m:sub>
                          <m:r>
                            <m:t>i</m:t>
                          </m:r>
                        </m:sub>
                      </m:sSub>
                      <m:r>
                        <m:rPr>
                          <m:sty m:val="p"/>
                        </m:rPr>
                        <m:t>−</m:t>
                      </m:r>
                      <m:sSub>
                        <m:e>
                          <m:acc>
                            <m:accPr>
                              <m:chr m:val="̂"/>
                            </m:accPr>
                            <m:e>
                              <m:r>
                                <m:t>W</m:t>
                              </m:r>
                            </m:e>
                          </m:acc>
                        </m:e>
                        <m:sub>
                          <m:r>
                            <m:t>i</m:t>
                          </m:r>
                        </m:sub>
                      </m:sSub>
                    </m:e>
                  </m:d>
                </m:e>
                <m:sup>
                  <m:r>
                    <m:t>2</m:t>
                  </m:r>
                </m:sup>
              </m:sSup>
            </m:e>
          </m:nary>
        </m:oMath>
      </m:oMathPara>
    </w:p>
    <w:p>
      <w:pPr>
        <w:pStyle w:val="FirstParagraph"/>
        <w:spacing w:before="0" w:after="120" w:line="360" w:lineRule="auto"/>
        <w:ind w:firstLine="420"/>
      </w:pPr>
      <m:oMath>
        <m:sSub>
          <m:e>
            <m:r>
              <m:t>L</m:t>
            </m:r>
          </m:e>
          <m:sub>
            <m:r>
              <m:rPr>
                <m:nor/>
                <m:sty m:val="p"/>
              </m:rPr>
              <m:t>KL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为变分后验权重分布与先验分布之间的 KL 散度，用于约束模型复杂度并保留贝叶斯权重不确定性，</w:t>
      </w:r>
      <m:oMath>
        <m:r>
          <m:t>β</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KL 项权重。</w:t>
      </w:r>
    </w:p>
    <w:p>
      <w:pPr>
        <w:pStyle w:val="BodyText"/>
        <w:spacing w:before="0" w:after="120" w:line="360" w:lineRule="auto"/>
        <w:ind w:firstLine="420"/>
      </w:pPr>
      <w:r>
        <w:rPr>
          <w:rFonts w:ascii="Times New Roman" w:hAnsi="Times New Roman" w:eastAsia="宋体" w:cs="Times New Roman"/>
          <w:color w:val="000000"/>
          <w:sz w:val="24"/>
        </w:rPr>
        <w:t xml:space="preserve">为降低 KL 项在小样本退化序列训练中的不稳定影响，本文采用”确定性主干网络 + 末层 BayesLinear”的部分贝叶斯结构。确定性主干网络用于提取轮径磨耗状态特征，末层 BayesLinear 用于进行残差预测并刻画模型参数不确定性。</w:t>
      </w:r>
    </w:p>
    <w:bookmarkEnd w:id="23"/>
    <w:bookmarkStart w:id="24" w:name="五预测空间物理约束构建"/>
    <w:p>
      <w:pPr>
        <w:pStyle w:val="Heading3"/>
        <w:spacing w:before="120" w:after="60" w:line="360" w:lineRule="auto"/>
        <w:ind w:firstLine="0"/>
      </w:pPr>
      <w:r>
        <w:rPr>
          <w:rFonts w:ascii="Times New Roman" w:hAnsi="Times New Roman" w:eastAsia="楷体" w:cs="Times New Roman"/>
          <w:b/>
          <w:color w:val="000000"/>
          <w:sz w:val="24"/>
        </w:rPr>
        <w:t xml:space="preserve">（五）预测空间物理约束构建</w:t>
      </w:r>
    </w:p>
    <w:p>
      <w:pPr>
        <w:pStyle w:val="FirstParagraph"/>
        <w:spacing w:before="0" w:after="120" w:line="360" w:lineRule="auto"/>
        <w:ind w:firstLine="420"/>
      </w:pPr>
      <w:r>
        <w:rPr>
          <w:rFonts w:ascii="Times New Roman" w:hAnsi="Times New Roman" w:eastAsia="宋体" w:cs="Times New Roman"/>
          <w:color w:val="000000"/>
          <w:sz w:val="24"/>
        </w:rPr>
        <w:t xml:space="preserve">为使模型预测结果符合车轮磨耗的基本物理规律，本文在 MSE-VI-BNN 中引入两个预测空间物理约束项。</w:t>
      </w:r>
    </w:p>
    <w:p>
      <w:pPr>
        <w:pStyle w:val="BodyText"/>
        <w:spacing w:before="0" w:after="60" w:line="300" w:lineRule="auto"/>
        <w:ind w:firstLine="0"/>
      </w:pPr>
      <w:r>
        <w:rPr>
          <w:bCs/>
          <w:rFonts w:ascii="Times New Roman" w:hAnsi="Times New Roman" w:eastAsia="宋体" w:cs="Times New Roman"/>
          <w:b w:val="0"/>
          <w:color w:val="000000"/>
          <w:sz w:val="22"/>
        </w:rPr>
        <w:t xml:space="preserve">1. 磨耗单调性约束</w:t>
      </w:r>
    </w:p>
    <w:p>
      <w:pPr>
        <w:pStyle w:val="BodyText"/>
        <w:spacing w:before="0" w:after="120" w:line="360" w:lineRule="auto"/>
        <w:ind w:firstLine="420"/>
      </w:pPr>
      <w:r>
        <w:rPr>
          <w:rFonts w:ascii="Times New Roman" w:hAnsi="Times New Roman" w:eastAsia="宋体" w:cs="Times New Roman"/>
          <w:color w:val="000000"/>
          <w:sz w:val="24"/>
        </w:rPr>
        <w:t xml:space="preserve">由于车轮轮径磨耗量随运行里程总体应非减，因此定义：</w:t>
      </w:r>
    </w:p>
    <w:p>
      <w:pPr>
        <w:pStyle w:val="BodyText"/>
        <w:spacing w:before="0" w:after="120" w:line="360" w:lineRule="auto"/>
        <w:ind w:firstLine="420"/>
      </w:pPr>
      <m:oMathPara>
        <m:oMathParaPr>
          <m:jc m:val="center"/>
        </m:oMathParaPr>
        <m:oMath>
          <m:sSub>
            <m:e>
              <m:r>
                <m:t>L</m:t>
              </m:r>
            </m:e>
            <m:sub>
              <m:r>
                <m:rPr>
                  <m:nor/>
                  <m:sty m:val="p"/>
                </m:rPr>
                <m:t>mono</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max</m:t>
              </m:r>
            </m:e>
          </m:nary>
          <m:r>
            <m:t>​</m:t>
          </m:r>
          <m:sSup>
            <m:e>
              <m:d>
                <m:dPr>
                  <m:begChr m:val="("/>
                  <m:endChr m:val=")"/>
                  <m:sepChr m:val=""/>
                  <m:grow/>
                </m:dPr>
                <m:e>
                  <m:r>
                    <m:t>0</m:t>
                  </m:r>
                  <m:r>
                    <m:rPr>
                      <m:sty m:val="p"/>
                    </m:rPr>
                    <m:t>,</m:t>
                  </m:r>
                  <m:r>
                    <m:t> </m:t>
                  </m:r>
                  <m:sSub>
                    <m:e>
                      <m:acc>
                        <m:accPr>
                          <m:chr m:val="̂"/>
                        </m:accPr>
                        <m:e>
                          <m:r>
                            <m:t>W</m:t>
                          </m:r>
                        </m:e>
                      </m:acc>
                    </m:e>
                    <m:sub>
                      <m:r>
                        <m:t>t</m:t>
                      </m:r>
                    </m:sub>
                  </m:sSub>
                  <m:r>
                    <m:rPr>
                      <m:sty m:val="p"/>
                    </m:rPr>
                    <m:t>−</m:t>
                  </m:r>
                  <m:sSub>
                    <m:e>
                      <m:acc>
                        <m:accPr>
                          <m:chr m:val="̂"/>
                        </m:accPr>
                        <m:e>
                          <m:r>
                            <m:t>W</m:t>
                          </m:r>
                        </m:e>
                      </m:acc>
                    </m:e>
                    <m:sub>
                      <m:r>
                        <m:t>t</m:t>
                      </m:r>
                      <m:r>
                        <m:rPr>
                          <m:sty m:val="p"/>
                        </m:rPr>
                        <m:t>+</m:t>
                      </m:r>
                      <m:r>
                        <m:t>1</m:t>
                      </m:r>
                    </m:sub>
                  </m:sSub>
                </m:e>
              </m:d>
            </m:e>
            <m:sup>
              <m:r>
                <m:t>2</m:t>
              </m:r>
            </m:sup>
          </m:sSup>
        </m:oMath>
      </m:oMathPara>
    </w:p>
    <w:p>
      <w:pPr>
        <w:pStyle w:val="FirstParagraph"/>
        <w:spacing w:before="0" w:after="60" w:line="300" w:lineRule="auto"/>
        <w:ind w:firstLine="0"/>
      </w:pPr>
      <w:r>
        <w:rPr>
          <w:bCs/>
          <w:rFonts w:ascii="Times New Roman" w:hAnsi="Times New Roman" w:eastAsia="宋体" w:cs="Times New Roman"/>
          <w:b w:val="0"/>
          <w:color w:val="000000"/>
          <w:sz w:val="22"/>
        </w:rPr>
        <w:t xml:space="preserve">2. 磨耗速率约束</w:t>
      </w:r>
    </w:p>
    <w:p>
      <w:pPr>
        <w:pStyle w:val="BodyText"/>
        <w:spacing w:before="0" w:after="120" w:line="360" w:lineRule="auto"/>
        <w:ind w:firstLine="420"/>
      </w:pPr>
      <w:r>
        <w:rPr>
          <w:rFonts w:ascii="Times New Roman" w:hAnsi="Times New Roman" w:eastAsia="宋体" w:cs="Times New Roman"/>
          <w:color w:val="000000"/>
          <w:sz w:val="24"/>
        </w:rPr>
        <w:t xml:space="preserve">由预测磨耗量计算预测磨耗速率：</w:t>
      </w:r>
    </w:p>
    <w:p>
      <w:pPr>
        <w:pStyle w:val="BodyText"/>
        <w:spacing w:before="0" w:after="120" w:line="360" w:lineRule="auto"/>
        <w:ind w:firstLine="420"/>
      </w:pPr>
      <m:oMathPara>
        <m:oMathParaPr>
          <m:jc m:val="center"/>
        </m:oMathParaPr>
        <m:oMath>
          <m:sSub>
            <m:e>
              <m:acc>
                <m:accPr>
                  <m:chr m:val="̂"/>
                </m:accPr>
                <m:e>
                  <m:r>
                    <m:t>r</m:t>
                  </m:r>
                </m:e>
              </m:acc>
            </m:e>
            <m:sub>
              <m:r>
                <m:t>t</m:t>
              </m:r>
            </m:sub>
          </m:sSub>
          <m:r>
            <m:rPr>
              <m:sty m:val="p"/>
            </m:rPr>
            <m:t>=</m:t>
          </m:r>
          <m:f>
            <m:fPr>
              <m:type m:val="bar"/>
            </m:fPr>
            <m:num>
              <m:sSub>
                <m:e>
                  <m:acc>
                    <m:accPr>
                      <m:chr m:val="̂"/>
                    </m:accPr>
                    <m:e>
                      <m:r>
                        <m:t>W</m:t>
                      </m:r>
                    </m:e>
                  </m:acc>
                </m:e>
                <m:sub>
                  <m:r>
                    <m:t>t</m:t>
                  </m:r>
                  <m:r>
                    <m:rPr>
                      <m:sty m:val="p"/>
                    </m:rPr>
                    <m:t>+</m:t>
                  </m:r>
                  <m:r>
                    <m:t>1</m:t>
                  </m:r>
                </m:sub>
              </m:sSub>
              <m:r>
                <m:rPr>
                  <m:sty m:val="p"/>
                </m:rPr>
                <m:t>−</m:t>
              </m:r>
              <m:sSub>
                <m:e>
                  <m:acc>
                    <m:accPr>
                      <m:chr m:val="̂"/>
                    </m:accPr>
                    <m:e>
                      <m:r>
                        <m:t>W</m:t>
                      </m:r>
                    </m:e>
                  </m:acc>
                </m:e>
                <m:sub>
                  <m:r>
                    <m:t>t</m:t>
                  </m:r>
                </m:sub>
              </m:sSub>
            </m:num>
            <m:den>
              <m:sSub>
                <m:e>
                  <m:r>
                    <m:t>d</m:t>
                  </m:r>
                </m:e>
                <m:sub>
                  <m:r>
                    <m:t>t</m:t>
                  </m:r>
                  <m:r>
                    <m:rPr>
                      <m:sty m:val="p"/>
                    </m:rPr>
                    <m:t>+</m:t>
                  </m:r>
                  <m:r>
                    <m:t>1</m:t>
                  </m:r>
                </m:sub>
              </m:sSub>
              <m:r>
                <m:rPr>
                  <m:sty m:val="p"/>
                </m:rPr>
                <m:t>−</m:t>
              </m:r>
              <m:sSub>
                <m:e>
                  <m:r>
                    <m:t>d</m:t>
                  </m:r>
                </m:e>
                <m:sub>
                  <m:r>
                    <m:t>t</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根据 Simpack 仿真磨耗速率集合和实测磨耗速率集合共同确定磨耗速率上界：</w:t>
      </w:r>
    </w:p>
    <w:p>
      <w:pPr>
        <w:pStyle w:val="BodyText"/>
        <w:spacing w:before="0" w:after="120" w:line="360" w:lineRule="auto"/>
        <w:ind w:firstLine="420"/>
      </w:pPr>
      <m:oMathPara>
        <m:oMathParaPr>
          <m:jc m:val="center"/>
        </m:oMathParaPr>
        <m:oMath>
          <m:sSub>
            <m:e>
              <m:r>
                <m:t>r</m:t>
              </m:r>
            </m:e>
            <m:sub>
              <m:r>
                <m:rPr>
                  <m:sty m:val="p"/>
                </m:rPr>
                <m:t>max</m:t>
              </m:r>
            </m:sub>
          </m:sSub>
          <m:r>
            <m:rPr>
              <m:sty m:val="p"/>
            </m:rPr>
            <m:t>=</m:t>
          </m:r>
          <m:r>
            <m:t>γ</m:t>
          </m:r>
          <m:r>
            <m:rPr>
              <m:sty m:val="p"/>
            </m:rPr>
            <m:t>⋅</m:t>
          </m:r>
          <m:r>
            <m:rPr>
              <m:sty m:val="p"/>
            </m:rPr>
            <m:t>max</m:t>
          </m:r>
          <m:r>
            <m:t>​</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r>
                <m:t> </m:t>
              </m:r>
              <m:sSub>
                <m:e>
                  <m:r>
                    <m:t>P</m:t>
                  </m:r>
                </m:e>
                <m:sub>
                  <m:r>
                    <m:t>95</m:t>
                  </m:r>
                </m:sub>
              </m:sSub>
              <m:d>
                <m:dPr>
                  <m:begChr m:val="("/>
                  <m:endChr m:val=")"/>
                  <m:sepChr m:val=""/>
                  <m:grow/>
                </m:dPr>
                <m:e>
                  <m:sSub>
                    <m:e>
                      <m:r>
                        <m:rPr>
                          <m:sty m:val="p"/>
                          <m:scr m:val="script"/>
                        </m:rPr>
                        <m:t>R</m:t>
                      </m:r>
                    </m:e>
                    <m:sub>
                      <m:r>
                        <m:rPr>
                          <m:nor/>
                          <m:sty m:val="p"/>
                        </m:rPr>
                        <m:t>real</m:t>
                      </m:r>
                    </m:sub>
                  </m:sSub>
                </m:e>
              </m:d>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r>
          <m:t>γ</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为安全系数，用于避免过强约束压制少数快速磨耗样本。本文约束预测磨耗速率满足：</w:t>
      </w:r>
    </w:p>
    <w:p>
      <w:pPr>
        <w:pStyle w:val="BodyText"/>
        <w:spacing w:before="0" w:after="120" w:line="360" w:lineRule="auto"/>
        <w:ind w:firstLine="420"/>
      </w:pPr>
      <m:oMathPara>
        <m:oMathParaPr>
          <m:jc m:val="center"/>
        </m:oMathParaPr>
        <m:oMath>
          <m:r>
            <m:t>0</m:t>
          </m:r>
          <m:r>
            <m:rPr>
              <m:sty m:val="p"/>
            </m:rPr>
            <m:t>≤</m:t>
          </m:r>
          <m:sSub>
            <m:e>
              <m:acc>
                <m:accPr>
                  <m:chr m:val="̂"/>
                </m:accPr>
                <m:e>
                  <m:r>
                    <m:t>r</m:t>
                  </m:r>
                </m:e>
              </m:acc>
            </m:e>
            <m:sub>
              <m:r>
                <m:t>t</m:t>
              </m:r>
            </m:sub>
          </m:sSub>
          <m:r>
            <m:rPr>
              <m:sty m:val="p"/>
            </m:rPr>
            <m:t>≤</m:t>
          </m:r>
          <m:sSub>
            <m:e>
              <m:r>
                <m:t>r</m:t>
              </m:r>
            </m:e>
            <m:sub>
              <m:r>
                <m:rPr>
                  <m:sty m:val="p"/>
                </m:rPr>
                <m:t>max</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对应的磨耗速率约束损失为：</w:t>
      </w:r>
    </w:p>
    <w:p>
      <w:pPr>
        <w:pStyle w:val="BodyText"/>
        <w:spacing w:before="0" w:after="120" w:line="360" w:lineRule="auto"/>
        <w:ind w:firstLine="420"/>
      </w:pPr>
      <m:oMathPara>
        <m:oMathParaPr>
          <m:jc m:val="center"/>
        </m:oMathParaPr>
        <m:oMath>
          <m:sSub>
            <m:e>
              <m:r>
                <m:t>L</m:t>
              </m:r>
            </m:e>
            <m:sub>
              <m:r>
                <m:rPr>
                  <m:nor/>
                  <m:sty m:val="p"/>
                </m:rPr>
                <m:t>rate</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d>
                <m:dPr>
                  <m:begChr m:val="["/>
                  <m:endChr m:val="]"/>
                  <m:sepChr m:val=""/>
                  <m:grow/>
                </m:dPr>
                <m:e>
                  <m:r>
                    <m:rPr>
                      <m:sty m:val="p"/>
                    </m:rPr>
                    <m:t>max</m:t>
                  </m:r>
                  <m:sSup>
                    <m:e>
                      <m:d>
                        <m:dPr>
                          <m:begChr m:val="("/>
                          <m:endChr m:val=")"/>
                          <m:sepChr m:val=""/>
                          <m:grow/>
                        </m:dPr>
                        <m:e>
                          <m:r>
                            <m:t>0</m:t>
                          </m:r>
                          <m:r>
                            <m:rPr>
                              <m:sty m:val="p"/>
                            </m:rPr>
                            <m:t>,</m:t>
                          </m:r>
                          <m:sSub>
                            <m:e>
                              <m:acc>
                                <m:accPr>
                                  <m:chr m:val="̂"/>
                                </m:accPr>
                                <m:e>
                                  <m:r>
                                    <m:t>r</m:t>
                                  </m:r>
                                </m:e>
                              </m:acc>
                            </m:e>
                            <m:sub>
                              <m:r>
                                <m:t>t</m:t>
                              </m:r>
                            </m:sub>
                          </m:sSub>
                          <m:r>
                            <m:rPr>
                              <m:sty m:val="p"/>
                            </m:rPr>
                            <m:t>−</m:t>
                          </m:r>
                          <m:sSub>
                            <m:e>
                              <m:r>
                                <m:t>r</m:t>
                              </m:r>
                            </m:e>
                            <m:sub>
                              <m:r>
                                <m:rPr>
                                  <m:sty m:val="p"/>
                                </m:rPr>
                                <m:t>max</m:t>
                              </m:r>
                            </m:sub>
                          </m:sSub>
                        </m:e>
                      </m:d>
                    </m:e>
                    <m:sup>
                      <m:r>
                        <m:t>2</m:t>
                      </m:r>
                    </m:sup>
                  </m:sSup>
                  <m:r>
                    <m:rPr>
                      <m:sty m:val="p"/>
                    </m:rPr>
                    <m:t>+</m:t>
                  </m:r>
                  <m:r>
                    <m:rPr>
                      <m:sty m:val="p"/>
                    </m:rPr>
                    <m:t>max</m:t>
                  </m:r>
                  <m:sSup>
                    <m:e>
                      <m:d>
                        <m:dPr>
                          <m:begChr m:val="("/>
                          <m:endChr m:val=")"/>
                          <m:sepChr m:val=""/>
                          <m:grow/>
                        </m:dPr>
                        <m:e>
                          <m:r>
                            <m:t>0</m:t>
                          </m:r>
                          <m:r>
                            <m:rPr>
                              <m:sty m:val="p"/>
                            </m:rPr>
                            <m:t>,</m:t>
                          </m:r>
                          <m:r>
                            <m:rPr>
                              <m:sty m:val="p"/>
                            </m:rPr>
                            <m:t>−</m:t>
                          </m:r>
                          <m:sSub>
                            <m:e>
                              <m:acc>
                                <m:accPr>
                                  <m:chr m:val="̂"/>
                                </m:accPr>
                                <m:e>
                                  <m:r>
                                    <m:t>r</m:t>
                                  </m:r>
                                </m:e>
                              </m:acc>
                            </m:e>
                            <m:sub>
                              <m:r>
                                <m:t>t</m:t>
                              </m:r>
                            </m:sub>
                          </m:sSub>
                        </m:e>
                      </m:d>
                    </m:e>
                    <m:sup>
                      <m:r>
                        <m:t>2</m:t>
                      </m:r>
                    </m:sup>
                  </m:sSup>
                </m:e>
              </m:d>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上述单调性约束和磨耗速率约束均为软约束，而非对预测结果进行后处理硬裁剪。软约束能够在数据拟合精度和物理合理性之间进行折中，并通过验证集选择约束权重</w:t>
      </w:r>
      <w:r>
        <w:rPr>
          <w:rFonts w:ascii="Times New Roman" w:hAnsi="Times New Roman" w:eastAsia="宋体" w:cs="Times New Roman"/>
          <w:color w:val="000000"/>
          <w:sz w:val="24"/>
        </w:rPr>
        <w:t xml:space="preserve"> </w:t>
      </w:r>
      <m:oMath>
        <m:sSub>
          <m:e>
            <m:r>
              <m:t>λ</m:t>
            </m:r>
          </m:e>
          <m:sub>
            <m:r>
              <m:t>1</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λ</m:t>
            </m:r>
          </m:e>
          <m:sub>
            <m:r>
              <m:t>2</m:t>
            </m:r>
          </m:sub>
        </m:sSub>
      </m:oMath>
      <w:r>
        <w:rPr>
          <w:rFonts w:ascii="Times New Roman" w:hAnsi="Times New Roman" w:eastAsia="宋体" w:cs="Times New Roman"/>
          <w:color w:val="000000"/>
          <w:sz w:val="24"/>
        </w:rPr>
        <w:t xml:space="preserve">。</w:t>
      </w:r>
    </w:p>
    <w:bookmarkEnd w:id="24"/>
    <w:bookmarkStart w:id="25" w:name="六预测区间构建与模型验证"/>
    <w:p>
      <w:pPr>
        <w:pStyle w:val="Heading3"/>
        <w:spacing w:before="120" w:after="60" w:line="360" w:lineRule="auto"/>
        <w:ind w:firstLine="0"/>
      </w:pPr>
      <w:r>
        <w:rPr>
          <w:rFonts w:ascii="Times New Roman" w:hAnsi="Times New Roman" w:eastAsia="楷体" w:cs="Times New Roman"/>
          <w:b/>
          <w:color w:val="000000"/>
          <w:sz w:val="24"/>
        </w:rPr>
        <w:t xml:space="preserve">（六）预测区间构建与模型验证</w:t>
      </w:r>
    </w:p>
    <w:p>
      <w:pPr>
        <w:pStyle w:val="FirstParagraph"/>
        <w:spacing w:before="0" w:after="120" w:line="360" w:lineRule="auto"/>
        <w:ind w:firstLine="420"/>
      </w:pPr>
      <w:r>
        <w:rPr>
          <w:rFonts w:ascii="Times New Roman" w:hAnsi="Times New Roman" w:eastAsia="宋体" w:cs="Times New Roman"/>
          <w:color w:val="000000"/>
          <w:sz w:val="24"/>
        </w:rPr>
        <w:t xml:space="preserve">由于本文主模型采用 MSE 而非异方差 NLL 训练，因此预测区间不依赖方差输出头，而采用 VI-BNN 权重采样和验证集残差校准相结合的方法构建。通过多次 Monte Carlo 权重采样得到多个预测结果</w:t>
      </w:r>
      <w:r>
        <w:rPr>
          <w:rFonts w:ascii="Times New Roman" w:hAnsi="Times New Roman" w:eastAsia="宋体" w:cs="Times New Roman"/>
          <w:color w:val="000000"/>
          <w:sz w:val="24"/>
        </w:rPr>
        <w:t xml:space="preserve"> </w:t>
      </w:r>
      <m:oMath>
        <m:r>
          <m:rPr>
            <m:sty m:val="p"/>
          </m:rPr>
          <m:t>{</m:t>
        </m:r>
        <m:sSup>
          <m:e>
            <m:acc>
              <m:accPr>
                <m:chr m:val="̂"/>
              </m:accPr>
              <m:e>
                <m:r>
                  <m:t>W</m:t>
                </m:r>
              </m:e>
            </m:acc>
          </m:e>
          <m:sup>
            <m:d>
              <m:dPr>
                <m:begChr m:val="("/>
                <m:endChr m:val=")"/>
                <m:sepChr m:val=""/>
                <m:grow/>
              </m:dPr>
              <m:e>
                <m:r>
                  <m:t>j</m:t>
                </m:r>
              </m:e>
            </m:d>
          </m:sup>
        </m:sSup>
        <m:sSubSup>
          <m:e>
            <m:r>
              <m:rPr>
                <m:sty m:val="p"/>
              </m:rPr>
              <m:t>}</m:t>
            </m:r>
          </m:e>
          <m:sub>
            <m:r>
              <m:t>j</m:t>
            </m:r>
            <m:r>
              <m:rPr>
                <m:sty m:val="p"/>
              </m:rPr>
              <m:t>=</m:t>
            </m:r>
            <m:r>
              <m:t>1</m:t>
            </m:r>
          </m:sub>
          <m:sup>
            <m:r>
              <m:t>T</m:t>
            </m:r>
          </m:sup>
        </m:sSubSup>
      </m:oMath>
      <w:r>
        <w:rPr>
          <w:rFonts w:ascii="Times New Roman" w:hAnsi="Times New Roman" w:eastAsia="宋体" w:cs="Times New Roman"/>
          <w:color w:val="000000"/>
          <w:sz w:val="24"/>
        </w:rPr>
        <w:t xml:space="preserve">，预测均值为：</w:t>
      </w:r>
    </w:p>
    <w:p>
      <w:pPr>
        <w:pStyle w:val="BodyText"/>
        <w:spacing w:before="0" w:after="120" w:line="360" w:lineRule="auto"/>
        <w:ind w:firstLine="420"/>
      </w:pPr>
      <m:oMathPara>
        <m:oMathParaPr>
          <m:jc m:val="center"/>
        </m:oMathParaPr>
        <m:oMath>
          <m:r>
            <m:t>μ</m:t>
          </m:r>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acc>
                    <m:accPr>
                      <m:chr m:val="̂"/>
                    </m:accPr>
                    <m:e>
                      <m:r>
                        <m:t>W</m:t>
                      </m:r>
                    </m:e>
                  </m:acc>
                </m:e>
                <m:sup>
                  <m:d>
                    <m:dPr>
                      <m:begChr m:val="("/>
                      <m:endChr m:val=")"/>
                      <m:sepChr m:val=""/>
                      <m:grow/>
                    </m:dPr>
                    <m:e>
                      <m:r>
                        <m:t>j</m:t>
                      </m:r>
                    </m:e>
                  </m:d>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模型不确定性为：</w:t>
      </w:r>
    </w:p>
    <w:p>
      <w:pPr>
        <w:pStyle w:val="BodyText"/>
        <w:spacing w:before="0" w:after="120" w:line="360" w:lineRule="auto"/>
        <w:ind w:firstLine="420"/>
      </w:pPr>
      <m:oMathPara>
        <m:oMathParaPr>
          <m:jc m:val="center"/>
        </m:oMathParaPr>
        <m:oMath>
          <m:sSubSup>
            <m:e>
              <m:r>
                <m:t>σ</m:t>
              </m:r>
            </m:e>
            <m:sub>
              <m:r>
                <m:rPr>
                  <m:nor/>
                  <m:sty m:val="p"/>
                </m:rPr>
                <m:t>MC</m:t>
              </m:r>
            </m:sub>
            <m:sup>
              <m:r>
                <m:t>2</m:t>
              </m:r>
            </m:sup>
          </m:sSubSup>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d>
                    <m:dPr>
                      <m:begChr m:val="("/>
                      <m:endChr m:val=")"/>
                      <m:sepChr m:val=""/>
                      <m:grow/>
                    </m:dPr>
                    <m:e>
                      <m:sSup>
                        <m:e>
                          <m:acc>
                            <m:accPr>
                              <m:chr m:val="̂"/>
                            </m:accPr>
                            <m:e>
                              <m:r>
                                <m:t>W</m:t>
                              </m:r>
                            </m:e>
                          </m:acc>
                        </m:e>
                        <m:sup>
                          <m:d>
                            <m:dPr>
                              <m:begChr m:val="("/>
                              <m:endChr m:val=")"/>
                              <m:sepChr m:val=""/>
                              <m:grow/>
                            </m:dPr>
                            <m:e>
                              <m:r>
                                <m:t>j</m:t>
                              </m:r>
                            </m:e>
                          </m:d>
                        </m:sup>
                      </m:sSup>
                      <m:r>
                        <m:rPr>
                          <m:sty m:val="p"/>
                        </m:rPr>
                        <m:t>−</m:t>
                      </m:r>
                      <m:r>
                        <m:t>μ</m:t>
                      </m:r>
                    </m:e>
                  </m:d>
                </m:e>
                <m:sup>
                  <m:r>
                    <m:t>2</m:t>
                  </m:r>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进一步结合验证集残差方差：</w:t>
      </w:r>
    </w:p>
    <w:p>
      <w:pPr>
        <w:pStyle w:val="BodyText"/>
        <w:spacing w:before="0" w:after="120" w:line="360" w:lineRule="auto"/>
        <w:ind w:firstLine="420"/>
      </w:pPr>
      <m:oMathPara>
        <m:oMathParaPr>
          <m:jc m:val="center"/>
        </m:oMathParaPr>
        <m:oMath>
          <m:sSubSup>
            <m:e>
              <m:r>
                <m:t>σ</m:t>
              </m:r>
            </m:e>
            <m:sub>
              <m:r>
                <m:rPr>
                  <m:nor/>
                  <m:sty m:val="p"/>
                </m:rPr>
                <m:t>res</m:t>
              </m:r>
            </m:sub>
            <m:sup>
              <m:r>
                <m:t>2</m:t>
              </m:r>
            </m:sup>
          </m:sSubSup>
          <m:r>
            <m:rPr>
              <m:sty m:val="p"/>
            </m:rPr>
            <m:t>=</m:t>
          </m:r>
          <m:r>
            <m:rPr>
              <m:nor/>
              <m:sty m:val="p"/>
            </m:rPr>
            <m:t>Var</m:t>
          </m:r>
          <m:d>
            <m:dPr>
              <m:begChr m:val="("/>
              <m:endChr m:val=")"/>
              <m:sepChr m:val=""/>
              <m:grow/>
            </m:dPr>
            <m:e>
              <m:r>
                <m:t>W</m:t>
              </m:r>
              <m:r>
                <m:rPr>
                  <m:sty m:val="p"/>
                </m:rPr>
                <m:t>−</m:t>
              </m:r>
              <m:r>
                <m:t>μ</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得到总预测方差：</w:t>
      </w:r>
    </w:p>
    <w:p>
      <w:pPr>
        <w:pStyle w:val="BodyText"/>
        <w:spacing w:before="0" w:after="120" w:line="360" w:lineRule="auto"/>
        <w:ind w:firstLine="420"/>
      </w:pPr>
      <m:oMathPara>
        <m:oMathParaPr>
          <m:jc m:val="center"/>
        </m:oMathParaPr>
        <m:oMath>
          <m:sSubSup>
            <m:e>
              <m:r>
                <m:t>σ</m:t>
              </m:r>
            </m:e>
            <m:sub>
              <m:r>
                <m:rPr>
                  <m:nor/>
                  <m:sty m:val="p"/>
                </m:rPr>
                <m:t>total</m:t>
              </m:r>
            </m:sub>
            <m:sup>
              <m:r>
                <m:t>2</m:t>
              </m:r>
            </m:sup>
          </m:sSubSup>
          <m:r>
            <m:rPr>
              <m:sty m:val="p"/>
            </m:rPr>
            <m:t>=</m:t>
          </m:r>
          <m:sSubSup>
            <m:e>
              <m:r>
                <m:t>σ</m:t>
              </m:r>
            </m:e>
            <m:sub>
              <m:r>
                <m:rPr>
                  <m:nor/>
                  <m:sty m:val="p"/>
                </m:rPr>
                <m:t>MC</m:t>
              </m:r>
            </m:sub>
            <m:sup>
              <m:r>
                <m:t>2</m:t>
              </m:r>
            </m:sup>
          </m:sSubSup>
          <m:r>
            <m:rPr>
              <m:sty m:val="p"/>
            </m:rPr>
            <m:t>+</m:t>
          </m:r>
          <m:sSubSup>
            <m:e>
              <m:r>
                <m:t>σ</m:t>
              </m:r>
            </m:e>
            <m:sub>
              <m:r>
                <m:rPr>
                  <m:nor/>
                  <m:sty m:val="p"/>
                </m:rPr>
                <m:t>res</m:t>
              </m:r>
            </m:sub>
            <m:sup>
              <m:r>
                <m:t>2</m:t>
              </m:r>
            </m:sup>
          </m:sSubSup>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由此构建预测区间：</w:t>
      </w:r>
    </w:p>
    <w:p>
      <w:pPr>
        <w:pStyle w:val="BodyText"/>
        <w:spacing w:before="0" w:after="120" w:line="360" w:lineRule="auto"/>
        <w:ind w:firstLine="420"/>
      </w:pPr>
      <m:oMathPara>
        <m:oMathParaPr>
          <m:jc m:val="center"/>
        </m:oMathParaPr>
        <m:oMath>
          <m:r>
            <m:t>μ</m:t>
          </m:r>
          <m:r>
            <m:rPr>
              <m:sty m:val="p"/>
            </m:rPr>
            <m:t>±</m:t>
          </m:r>
          <m:sSub>
            <m:e>
              <m:r>
                <m:t>z</m:t>
              </m:r>
            </m:e>
            <m:sub>
              <m:r>
                <m:t>α</m:t>
              </m:r>
              <m:r>
                <m:rPr>
                  <m:sty m:val="p"/>
                </m:rPr>
                <m:t>/</m:t>
              </m:r>
              <m:r>
                <m:t>2</m:t>
              </m:r>
            </m:sub>
          </m:sSub>
          <m:r>
            <m:t> </m:t>
          </m:r>
          <m:sSub>
            <m:e>
              <m:r>
                <m:t>σ</m:t>
              </m:r>
            </m:e>
            <m:sub>
              <m:r>
                <m:rPr>
                  <m:nor/>
                  <m:sty m:val="p"/>
                </m:rPr>
                <m:t>total</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数据集按时间顺序划分为训练集、验证集和测试集，其中前 60% 数据用于模型训练，中间 10% 数据用于超参数选择、约束权重选择和残差校准，后 30% 数据用于最终测试评价。测试集不参与任何模型训练和区间校准，以避免信息泄漏。</w:t>
      </w:r>
    </w:p>
    <w:p>
      <w:pPr>
        <w:pStyle w:val="BodyText"/>
        <w:spacing w:before="0" w:after="120" w:line="360" w:lineRule="auto"/>
        <w:ind w:firstLine="420"/>
      </w:pPr>
      <w:r>
        <w:rPr>
          <w:rFonts w:ascii="Times New Roman" w:hAnsi="Times New Roman" w:eastAsia="宋体" w:cs="Times New Roman"/>
          <w:color w:val="000000"/>
          <w:sz w:val="24"/>
        </w:rPr>
        <w:t xml:space="preserve">模型验证采用 LSTM、GRU、BiLSTM、标准 VI-BNN 和物理约束 VI-BNN 作为对比模型。其中，标准 VI-BNN 指采用</w:t>
      </w:r>
      <w:r>
        <w:rPr>
          <w:rFonts w:ascii="Times New Roman" w:hAnsi="Times New Roman" w:eastAsia="宋体" w:cs="Times New Roman"/>
          <w:color w:val="000000"/>
          <w:sz w:val="24"/>
        </w:rPr>
        <w:t xml:space="preserve"> </w:t>
      </w:r>
      <m:oMath>
        <m:sSub>
          <m:e>
            <m:r>
              <m:t>L</m:t>
            </m:r>
          </m:e>
          <m:sub>
            <m:r>
              <m:rPr>
                <m:nor/>
                <m:sty m:val="p"/>
              </m:rPr>
              <m:t>MSE-W</m:t>
            </m:r>
          </m:sub>
        </m:sSub>
        <m:r>
          <m:rPr>
            <m:sty m:val="p"/>
          </m:rPr>
          <m:t>+</m:t>
        </m:r>
        <m:r>
          <m:t>β</m:t>
        </m:r>
        <m:sSub>
          <m:e>
            <m:r>
              <m:t>L</m:t>
            </m:r>
          </m:e>
          <m:sub>
            <m:r>
              <m:rPr>
                <m:nor/>
                <m:sty m:val="p"/>
              </m:rPr>
              <m:t>KL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训练的模型，不包含单调性约束和磨耗速率约束；物理约束 VI-BNN 则在标准 VI-BNN 基础上进一步加入</w:t>
      </w:r>
      <w:r>
        <w:rPr>
          <w:rFonts w:ascii="Times New Roman" w:hAnsi="Times New Roman" w:eastAsia="宋体" w:cs="Times New Roman"/>
          <w:color w:val="000000"/>
          <w:sz w:val="24"/>
        </w:rPr>
        <w:t xml:space="preserve"> </w:t>
      </w:r>
      <m:oMath>
        <m:sSub>
          <m:e>
            <m:r>
              <m:t>L</m:t>
            </m:r>
          </m:e>
          <m:sub>
            <m:r>
              <m:rPr>
                <m:nor/>
                <m:sty m:val="p"/>
              </m:rPr>
              <m:t>mono</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L</m:t>
            </m:r>
          </m:e>
          <m:sub>
            <m:r>
              <m:rPr>
                <m:nor/>
                <m:sty m:val="p"/>
              </m:rPr>
              <m:t>rate</m:t>
            </m:r>
          </m:sub>
        </m:sSub>
      </m:oMath>
      <w:r>
        <w:rPr>
          <w:rFonts w:ascii="Times New Roman" w:hAnsi="Times New Roman" w:eastAsia="宋体" w:cs="Times New Roman"/>
          <w:color w:val="000000"/>
          <w:sz w:val="24"/>
        </w:rPr>
        <w:t xml:space="preserve">。评价指标包括 MAE、RMSE、MSE、</w:t>
      </w:r>
      <m:oMath>
        <m:sSup>
          <m:e>
            <m:r>
              <m:t>R</m:t>
            </m:r>
          </m:e>
          <m:sup>
            <m:r>
              <m:t>2</m:t>
            </m:r>
          </m:sup>
        </m:sSup>
      </m:oMath>
      <w:r>
        <w:rPr>
          <w:rFonts w:ascii="Times New Roman" w:hAnsi="Times New Roman" w:eastAsia="宋体" w:cs="Times New Roman"/>
          <w:color w:val="000000"/>
          <w:sz w:val="24"/>
        </w:rPr>
        <w:t xml:space="preserve">、PICP、PINAW 和平均区间宽度等。</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25"/>
    <w:bookmarkEnd w:id="26"/>
    <w:bookmarkStart w:id="31" w:name="二创新点"/>
    <w:p>
      <w:pPr>
        <w:pStyle w:val="Heading2"/>
        <w:spacing w:before="240" w:after="120" w:line="360" w:lineRule="auto"/>
        <w:ind w:firstLine="0"/>
      </w:pPr>
      <w:r>
        <w:rPr>
          <w:rFonts w:ascii="Times New Roman" w:hAnsi="Times New Roman" w:eastAsia="黑体" w:cs="Times New Roman"/>
          <w:b/>
          <w:color w:val="000000"/>
          <w:sz w:val="28"/>
        </w:rPr>
        <w:t xml:space="preserve">二、创新点</w:t>
      </w:r>
    </w:p>
    <w:bookmarkStart w:id="27" w:name="创新点一提出-simpack-仿真速率与实测速率融合的磨耗速率约束机制"/>
    <w:p>
      <w:pPr>
        <w:pStyle w:val="Heading3"/>
        <w:spacing w:before="120" w:after="60" w:line="360" w:lineRule="auto"/>
        <w:ind w:firstLine="0"/>
      </w:pPr>
      <w:r>
        <w:rPr>
          <w:rFonts w:ascii="Times New Roman" w:hAnsi="Times New Roman" w:eastAsia="楷体" w:cs="Times New Roman"/>
          <w:b/>
          <w:color w:val="000000"/>
          <w:sz w:val="24"/>
        </w:rPr>
        <w:t xml:space="preserve">创新点一：提出 Simpack 仿真速率与实测速率融合的磨耗速率约束机制</w:t>
      </w:r>
    </w:p>
    <w:p>
      <w:pPr>
        <w:pStyle w:val="FirstParagraph"/>
        <w:spacing w:before="0" w:after="120" w:line="360" w:lineRule="auto"/>
        <w:ind w:firstLine="420"/>
      </w:pPr>
      <w:r>
        <w:rPr>
          <w:rFonts w:ascii="Times New Roman" w:hAnsi="Times New Roman" w:eastAsia="宋体" w:cs="Times New Roman"/>
          <w:color w:val="000000"/>
          <w:sz w:val="24"/>
        </w:rPr>
        <w:t xml:space="preserve">针对 Simpack 磨耗仿真结果与现场轮径检测数据类型不一致的问题，本文不将仿真磨耗深度直接作为监督学习标签，而是从 Simpack 踏面磨耗深度中提取等效轮径磨耗速率，并结合实测轮径数据中的磨耗速率统计结果，构建预测模型中的磨耗速率合理范围。该方法将 Simpack 磨耗机理仿真的物理信息转化为预测空间约束，避免了仿真数据与实测数据直接混合训练导致的尺度不一致问题。</w:t>
      </w:r>
    </w:p>
    <w:bookmarkEnd w:id="27"/>
    <w:bookmarkStart w:id="28" w:name="创新点二构建群体退化基准-vi-bnn-个体残差修正的轮径磨耗趋势预测框架"/>
    <w:p>
      <w:pPr>
        <w:pStyle w:val="Heading3"/>
        <w:spacing w:before="120" w:after="60" w:line="360" w:lineRule="auto"/>
        <w:ind w:firstLine="0"/>
      </w:pPr>
      <w:r>
        <w:rPr>
          <w:rFonts w:ascii="Times New Roman" w:hAnsi="Times New Roman" w:eastAsia="楷体" w:cs="Times New Roman"/>
          <w:b/>
          <w:color w:val="000000"/>
          <w:sz w:val="24"/>
        </w:rPr>
        <w:t xml:space="preserve">创新点二：构建”群体退化基准 + VI-BNN 个体残差修正”的轮径磨耗趋势预测框架</w:t>
      </w:r>
    </w:p>
    <w:p>
      <w:pPr>
        <w:pStyle w:val="FirstParagraph"/>
        <w:spacing w:before="0" w:after="120" w:line="360" w:lineRule="auto"/>
        <w:ind w:firstLine="420"/>
      </w:pPr>
      <w:r>
        <w:rPr>
          <w:rFonts w:ascii="Times New Roman" w:hAnsi="Times New Roman" w:eastAsia="宋体" w:cs="Times New Roman"/>
          <w:color w:val="000000"/>
          <w:sz w:val="24"/>
        </w:rPr>
        <w:t xml:space="preserve">本文首先基于 960 个车轮的连续轮径检测数据构建群体平均磨耗曲线，并通过 AIC/BIC 选择合适的群体退化基准函数；随后采用 VI-BNN 对单个车轮相对于群体基准的个体残差进行建模。该框架将群体平均退化规律与车辆个体、轴位、左右轮和近期磨耗状态等差异因素相结合，提高了轮径磨耗趋势预测的可解释性和个体适应能力。</w:t>
      </w:r>
    </w:p>
    <w:bookmarkEnd w:id="28"/>
    <w:bookmarkStart w:id="29" w:name="创新点三提出面向轮径磨耗趋势预测的物理约束-mse-vi-bnn-方法"/>
    <w:p>
      <w:pPr>
        <w:pStyle w:val="Heading3"/>
        <w:spacing w:before="120" w:after="60" w:line="360" w:lineRule="auto"/>
        <w:ind w:firstLine="0"/>
      </w:pPr>
      <w:r>
        <w:rPr>
          <w:rFonts w:ascii="Times New Roman" w:hAnsi="Times New Roman" w:eastAsia="楷体" w:cs="Times New Roman"/>
          <w:b/>
          <w:color w:val="000000"/>
          <w:sz w:val="24"/>
        </w:rPr>
        <w:t xml:space="preserve">创新点三：提出面向轮径磨耗趋势预测的物理约束 MSE-VI-BNN 方法</w:t>
      </w:r>
    </w:p>
    <w:p>
      <w:pPr>
        <w:pStyle w:val="FirstParagraph"/>
        <w:spacing w:before="0" w:after="120" w:line="360" w:lineRule="auto"/>
        <w:ind w:firstLine="420"/>
      </w:pPr>
      <w:r>
        <w:rPr>
          <w:rFonts w:ascii="Times New Roman" w:hAnsi="Times New Roman" w:eastAsia="宋体" w:cs="Times New Roman"/>
          <w:color w:val="000000"/>
          <w:sz w:val="24"/>
        </w:rPr>
        <w:t xml:space="preserve">针对异方差 NLL 损失在本数据集上训练不稳定、点预测精度下降的问题，本文采用 MSE 作为固定高斯观测噪声假设下的数据拟合项，并结合 KL 散度、磨耗单调性约束和磨耗速率约束，构建物理约束 MSE-VI-BNN 模型。该方法在保持 VI-BNN 权重不确定性建模能力的同时，使预测磨耗曲线满足车轮磨耗单调性和合理磨耗速率范围。</w:t>
      </w:r>
    </w:p>
    <w:bookmarkEnd w:id="29"/>
    <w:bookmarkStart w:id="30" w:name="创新点四形成点预测物理约束和概率区间一体化的轮径磨耗趋势预测方法"/>
    <w:p>
      <w:pPr>
        <w:pStyle w:val="Heading3"/>
        <w:spacing w:before="120" w:after="60" w:line="360" w:lineRule="auto"/>
        <w:ind w:firstLine="0"/>
      </w:pPr>
      <w:r>
        <w:rPr>
          <w:rFonts w:ascii="Times New Roman" w:hAnsi="Times New Roman" w:eastAsia="楷体" w:cs="Times New Roman"/>
          <w:b/>
          <w:color w:val="000000"/>
          <w:sz w:val="24"/>
        </w:rPr>
        <w:t xml:space="preserve">创新点四：形成点预测、物理约束和概率区间一体化的轮径磨耗趋势预测方法</w:t>
      </w:r>
    </w:p>
    <w:p>
      <w:pPr>
        <w:pStyle w:val="FirstParagraph"/>
        <w:spacing w:before="0" w:after="120" w:line="360" w:lineRule="auto"/>
        <w:ind w:firstLine="420"/>
      </w:pPr>
      <w:r>
        <w:rPr>
          <w:rFonts w:ascii="Times New Roman" w:hAnsi="Times New Roman" w:eastAsia="宋体" w:cs="Times New Roman"/>
          <w:color w:val="000000"/>
          <w:sz w:val="24"/>
        </w:rPr>
        <w:t xml:space="preserve">本文不仅评价模型的 MAE、RMSE、</w:t>
      </w:r>
      <m:oMath>
        <m:sSup>
          <m:e>
            <m:r>
              <m:t>R</m:t>
            </m:r>
          </m:e>
          <m:sup>
            <m:r>
              <m:t>2</m:t>
            </m:r>
          </m:sup>
        </m:sSup>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等点预测指标，还通过 Monte Carlo 权重采样和验证集残差校准构建预测区间，并采用 PICP、PINAW 和平均区间宽度评价区间质量。该方法能够同时给出轮径磨耗趋势预测均值和预测区间，为地铁车轮磨耗状态评估提供更完整的信息表达。</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0"/>
    <w:bookmarkEnd w:id="31"/>
    <w:bookmarkStart w:id="32" w:name="三章节目录"/>
    <w:p>
      <w:pPr>
        <w:pStyle w:val="Heading2"/>
        <w:spacing w:before="240" w:after="120" w:line="360" w:lineRule="auto"/>
        <w:ind w:firstLine="0"/>
      </w:pPr>
      <w:r>
        <w:rPr>
          <w:rFonts w:ascii="Times New Roman" w:hAnsi="Times New Roman" w:eastAsia="黑体" w:cs="Times New Roman"/>
          <w:b/>
          <w:color w:val="000000"/>
          <w:sz w:val="28"/>
        </w:rPr>
        <w:t xml:space="preserve">三、章节目录</w:t>
      </w:r>
    </w:p>
    <w:p>
      <w:pPr>
        <w:pStyle w:val="FirstParagraph"/>
        <w:spacing w:before="0" w:after="120" w:line="360" w:lineRule="auto"/>
        <w:ind w:firstLine="420"/>
      </w:pPr>
      <w:r>
        <w:rPr>
          <w:bCs/>
          <w:rFonts w:ascii="Times New Roman" w:hAnsi="Times New Roman" w:eastAsia="宋体" w:cs="Times New Roman"/>
          <w:b/>
          <w:color w:val="000000"/>
          <w:sz w:val="24"/>
        </w:rPr>
        <w:t xml:space="preserve">摘要</w:t>
      </w:r>
    </w:p>
    <w:p>
      <w:pPr>
        <w:pStyle w:val="BodyText"/>
        <w:spacing w:before="0" w:after="120" w:line="360" w:lineRule="auto"/>
        <w:ind w:firstLine="420"/>
      </w:pPr>
      <w:r>
        <w:rPr>
          <w:bCs/>
          <w:rFonts w:ascii="Times New Roman" w:hAnsi="Times New Roman" w:eastAsia="宋体" w:cs="Times New Roman"/>
          <w:b/>
          <w:color w:val="000000"/>
          <w:sz w:val="24"/>
        </w:rPr>
        <w:t xml:space="preserve">Abstract</w:t>
      </w:r>
    </w:p>
    <w:p>
      <w:pPr>
        <w:pStyle w:val="BodyText"/>
        <w:spacing w:before="0" w:after="120" w:line="360" w:lineRule="auto"/>
        <w:ind w:firstLine="420"/>
      </w:pPr>
      <w:r>
        <w:rPr>
          <w:bCs/>
          <w:rFonts w:ascii="Times New Roman" w:hAnsi="Times New Roman" w:eastAsia="宋体" w:cs="Times New Roman"/>
          <w:b/>
          <w:color w:val="000000"/>
          <w:sz w:val="24"/>
        </w:rPr>
        <w:t xml:space="preserve">第1章 绪论</w:t>
      </w:r>
    </w:p>
    <w:p>
      <w:pPr>
        <w:pStyle w:val="BodyText"/>
        <w:spacing w:before="0" w:after="60" w:line="300" w:lineRule="auto"/>
        <w:ind w:firstLine="0"/>
      </w:pPr>
      <w:r>
        <w:rPr>
          <w:rFonts w:ascii="Times New Roman" w:hAnsi="Times New Roman" w:eastAsia="宋体" w:cs="Times New Roman"/>
          <w:b w:val="0"/>
          <w:color w:val="000000"/>
          <w:sz w:val="22"/>
        </w:rPr>
        <w:t xml:space="preserve">1.1 研究背景与意义</w:t>
      </w:r>
    </w:p>
    <w:p>
      <w:pPr>
        <w:pStyle w:val="BodyText"/>
        <w:spacing w:before="0" w:after="60" w:line="300" w:lineRule="auto"/>
        <w:ind w:firstLine="0"/>
      </w:pPr>
      <w:r>
        <w:rPr>
          <w:rFonts w:ascii="Times New Roman" w:hAnsi="Times New Roman" w:eastAsia="宋体" w:cs="Times New Roman"/>
          <w:b w:val="0"/>
          <w:color w:val="000000"/>
          <w:sz w:val="22"/>
        </w:rPr>
        <w:t xml:space="preserve">1.2 国内外研究现状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1.2.1 地铁车轮磨耗机理研究现状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1.2.2 车轮磨耗仿真与数据驱动预测研究现状</w:t>
      </w:r>
    </w:p>
    <w:p>
      <w:pPr>
        <w:pStyle w:val="BodyText"/>
        <w:spacing w:before="0" w:after="60" w:line="300" w:lineRule="auto"/>
        <w:ind w:firstLine="0"/>
      </w:pPr>
      <w:r>
        <w:rPr>
          <w:rFonts w:ascii="Times New Roman" w:hAnsi="Times New Roman" w:eastAsia="宋体" w:cs="Times New Roman"/>
          <w:b w:val="0"/>
          <w:color w:val="000000"/>
          <w:sz w:val="22"/>
        </w:rPr>
        <w:t xml:space="preserve">　　1.2.3 贝叶斯神经网络与不确定性量化研究现状</w:t>
      </w:r>
    </w:p>
    <w:p>
      <w:pPr>
        <w:pStyle w:val="BodyText"/>
        <w:spacing w:before="0" w:after="60" w:line="300" w:lineRule="auto"/>
        <w:ind w:firstLine="0"/>
      </w:pPr>
      <w:r>
        <w:rPr>
          <w:rFonts w:ascii="Times New Roman" w:hAnsi="Times New Roman" w:eastAsia="宋体" w:cs="Times New Roman"/>
          <w:b w:val="0"/>
          <w:color w:val="000000"/>
          <w:sz w:val="22"/>
        </w:rPr>
        <w:t xml:space="preserve">1.3 现有研究不足</w:t>
      </w:r>
    </w:p>
    <w:p>
      <w:pPr>
        <w:pStyle w:val="BodyText"/>
        <w:spacing w:before="0" w:after="60" w:line="300" w:lineRule="auto"/>
        <w:ind w:firstLine="0"/>
      </w:pPr>
      <w:r>
        <w:rPr>
          <w:rFonts w:ascii="Times New Roman" w:hAnsi="Times New Roman" w:eastAsia="宋体" w:cs="Times New Roman"/>
          <w:b w:val="0"/>
          <w:color w:val="000000"/>
          <w:sz w:val="22"/>
        </w:rPr>
        <w:t xml:space="preserve">1.4 研究目标</w:t>
      </w:r>
    </w:p>
    <w:p>
      <w:pPr>
        <w:pStyle w:val="BodyText"/>
        <w:spacing w:before="0" w:after="60" w:line="300" w:lineRule="auto"/>
        <w:ind w:firstLine="0"/>
      </w:pPr>
      <w:r>
        <w:rPr>
          <w:rFonts w:ascii="Times New Roman" w:hAnsi="Times New Roman" w:eastAsia="宋体" w:cs="Times New Roman"/>
          <w:b w:val="0"/>
          <w:color w:val="000000"/>
          <w:sz w:val="22"/>
        </w:rPr>
        <w:t xml:space="preserve">1.5 研究内容</w:t>
      </w:r>
    </w:p>
    <w:p>
      <w:pPr>
        <w:pStyle w:val="BodyText"/>
        <w:spacing w:before="0" w:after="60" w:line="300" w:lineRule="auto"/>
        <w:ind w:firstLine="0"/>
      </w:pPr>
      <w:r>
        <w:rPr>
          <w:rFonts w:ascii="Times New Roman" w:hAnsi="Times New Roman" w:eastAsia="宋体" w:cs="Times New Roman"/>
          <w:b w:val="0"/>
          <w:color w:val="000000"/>
          <w:sz w:val="22"/>
        </w:rPr>
        <w:t xml:space="preserve">1.6 技术路线</w:t>
      </w:r>
    </w:p>
    <w:p>
      <w:pPr>
        <w:pStyle w:val="BodyText"/>
        <w:spacing w:before="0" w:after="60" w:line="300" w:lineRule="auto"/>
        <w:ind w:firstLine="0"/>
      </w:pPr>
      <w:r>
        <w:rPr>
          <w:rFonts w:ascii="Times New Roman" w:hAnsi="Times New Roman" w:eastAsia="宋体" w:cs="Times New Roman"/>
          <w:b w:val="0"/>
          <w:color w:val="000000"/>
          <w:sz w:val="22"/>
        </w:rPr>
        <w:t xml:space="preserve">1.7 论文组织结构</w:t>
      </w:r>
    </w:p>
    <w:p>
      <w:pPr>
        <w:pStyle w:val="BodyText"/>
        <w:spacing w:before="0" w:after="120" w:line="360" w:lineRule="auto"/>
        <w:ind w:firstLine="420"/>
      </w:pPr>
      <w:r>
        <w:rPr>
          <w:bCs/>
          <w:rFonts w:ascii="Times New Roman" w:hAnsi="Times New Roman" w:eastAsia="宋体" w:cs="Times New Roman"/>
          <w:b/>
          <w:color w:val="000000"/>
          <w:sz w:val="24"/>
        </w:rPr>
        <w:t xml:space="preserve">第2章 地铁车辆动力学模型与磨耗速率仿真分析</w:t>
      </w:r>
    </w:p>
    <w:p>
      <w:pPr>
        <w:pStyle w:val="BodyText"/>
        <w:spacing w:before="0" w:after="60" w:line="300" w:lineRule="auto"/>
        <w:ind w:firstLine="0"/>
      </w:pPr>
      <w:r>
        <w:rPr>
          <w:rFonts w:ascii="Times New Roman" w:hAnsi="Times New Roman" w:eastAsia="宋体" w:cs="Times New Roman"/>
          <w:b w:val="0"/>
          <w:color w:val="000000"/>
          <w:sz w:val="22"/>
        </w:rPr>
        <w:t xml:space="preserve">2.1 轮轨接触与车轮磨耗机理</w:t>
      </w:r>
    </w:p>
    <w:p>
      <w:pPr>
        <w:pStyle w:val="BodyText"/>
        <w:spacing w:before="0" w:after="60" w:line="300" w:lineRule="auto"/>
        <w:ind w:firstLine="0"/>
      </w:pPr>
      <w:r>
        <w:rPr>
          <w:rFonts w:ascii="Times New Roman" w:hAnsi="Times New Roman" w:eastAsia="宋体" w:cs="Times New Roman"/>
          <w:b w:val="0"/>
          <w:color w:val="000000"/>
          <w:sz w:val="22"/>
        </w:rPr>
        <w:t xml:space="preserve">2.2 Archard 磨耗模型</w:t>
      </w:r>
    </w:p>
    <w:p>
      <w:pPr>
        <w:pStyle w:val="BodyText"/>
        <w:spacing w:before="0" w:after="60" w:line="300" w:lineRule="auto"/>
        <w:ind w:firstLine="0"/>
      </w:pPr>
      <w:r>
        <w:rPr>
          <w:rFonts w:ascii="Times New Roman" w:hAnsi="Times New Roman" w:eastAsia="宋体" w:cs="Times New Roman"/>
          <w:b w:val="0"/>
          <w:color w:val="000000"/>
          <w:sz w:val="22"/>
        </w:rPr>
        <w:t xml:space="preserve">2.3 Simpack 地铁车辆动力学模型建立</w:t>
      </w:r>
    </w:p>
    <w:p>
      <w:pPr>
        <w:pStyle w:val="BodyText"/>
        <w:spacing w:before="0" w:after="60" w:line="300" w:lineRule="auto"/>
        <w:ind w:firstLine="0"/>
      </w:pPr>
      <w:r>
        <w:rPr>
          <w:rFonts w:ascii="Times New Roman" w:hAnsi="Times New Roman" w:eastAsia="宋体" w:cs="Times New Roman"/>
          <w:b w:val="0"/>
          <w:color w:val="000000"/>
          <w:sz w:val="22"/>
        </w:rPr>
        <w:t xml:space="preserve">2.4 牵引/制动工况建模与仿真设置</w:t>
      </w:r>
    </w:p>
    <w:p>
      <w:pPr>
        <w:pStyle w:val="BodyText"/>
        <w:spacing w:before="0" w:after="60" w:line="300" w:lineRule="auto"/>
        <w:ind w:firstLine="0"/>
      </w:pPr>
      <w:r>
        <w:rPr>
          <w:rFonts w:ascii="Times New Roman" w:hAnsi="Times New Roman" w:eastAsia="宋体" w:cs="Times New Roman"/>
          <w:b w:val="0"/>
          <w:color w:val="000000"/>
          <w:sz w:val="22"/>
        </w:rPr>
        <w:t xml:space="preserve">2.5 不同运行状态下轮轨动力响应分析</w:t>
      </w:r>
    </w:p>
    <w:p>
      <w:pPr>
        <w:pStyle w:val="BodyText"/>
        <w:spacing w:before="0" w:after="60" w:line="300" w:lineRule="auto"/>
        <w:ind w:firstLine="0"/>
      </w:pPr>
      <w:r>
        <w:rPr>
          <w:rFonts w:ascii="Times New Roman" w:hAnsi="Times New Roman" w:eastAsia="宋体" w:cs="Times New Roman"/>
          <w:b w:val="0"/>
          <w:color w:val="000000"/>
          <w:sz w:val="22"/>
        </w:rPr>
        <w:t xml:space="preserve">2.6 仿真磨耗深度与等效轮径磨耗速率提取</w:t>
      </w:r>
    </w:p>
    <w:p>
      <w:pPr>
        <w:pStyle w:val="BodyText"/>
        <w:spacing w:before="0" w:after="60" w:line="300" w:lineRule="auto"/>
        <w:ind w:firstLine="0"/>
      </w:pPr>
      <w:r>
        <w:rPr>
          <w:rFonts w:ascii="Times New Roman" w:hAnsi="Times New Roman" w:eastAsia="宋体" w:cs="Times New Roman"/>
          <w:b w:val="0"/>
          <w:color w:val="000000"/>
          <w:sz w:val="22"/>
        </w:rPr>
        <w:t xml:space="preserve">2.7 仿真磨耗速率统计特征分析</w:t>
      </w:r>
    </w:p>
    <w:p>
      <w:pPr>
        <w:pStyle w:val="BodyText"/>
        <w:spacing w:before="0" w:after="60" w:line="300" w:lineRule="auto"/>
        <w:ind w:firstLine="0"/>
      </w:pPr>
      <w:r>
        <w:rPr>
          <w:rFonts w:ascii="Times New Roman" w:hAnsi="Times New Roman" w:eastAsia="宋体" w:cs="Times New Roman"/>
          <w:b w:val="0"/>
          <w:color w:val="000000"/>
          <w:sz w:val="22"/>
        </w:rPr>
        <w:t xml:space="preserve">2.8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第3章 连续轮径实测数据处理与磨耗规律分析</w:t>
      </w:r>
    </w:p>
    <w:p>
      <w:pPr>
        <w:pStyle w:val="BodyText"/>
        <w:spacing w:before="0" w:after="60" w:line="300" w:lineRule="auto"/>
        <w:ind w:firstLine="0"/>
      </w:pPr>
      <w:r>
        <w:rPr>
          <w:rFonts w:ascii="Times New Roman" w:hAnsi="Times New Roman" w:eastAsia="宋体" w:cs="Times New Roman"/>
          <w:b w:val="0"/>
          <w:color w:val="000000"/>
          <w:sz w:val="22"/>
        </w:rPr>
        <w:t xml:space="preserve">3.1 实测数据来源与字段说明</w:t>
      </w:r>
    </w:p>
    <w:p>
      <w:pPr>
        <w:pStyle w:val="BodyText"/>
        <w:spacing w:before="0" w:after="60" w:line="300" w:lineRule="auto"/>
        <w:ind w:firstLine="0"/>
      </w:pPr>
      <w:r>
        <w:rPr>
          <w:rFonts w:ascii="Times New Roman" w:hAnsi="Times New Roman" w:eastAsia="宋体" w:cs="Times New Roman"/>
          <w:b w:val="0"/>
          <w:color w:val="000000"/>
          <w:sz w:val="22"/>
        </w:rPr>
        <w:t xml:space="preserve">3.2 镟修周期切分与局部里程归零</w:t>
      </w:r>
    </w:p>
    <w:p>
      <w:pPr>
        <w:pStyle w:val="BodyText"/>
        <w:spacing w:before="0" w:after="60" w:line="300" w:lineRule="auto"/>
        <w:ind w:firstLine="0"/>
      </w:pPr>
      <w:r>
        <w:rPr>
          <w:rFonts w:ascii="Times New Roman" w:hAnsi="Times New Roman" w:eastAsia="宋体" w:cs="Times New Roman"/>
          <w:b w:val="0"/>
          <w:color w:val="000000"/>
          <w:sz w:val="22"/>
        </w:rPr>
        <w:t xml:space="preserve">3.3 轮径异常值处理与因果滑动平滑</w:t>
      </w:r>
    </w:p>
    <w:p>
      <w:pPr>
        <w:pStyle w:val="BodyText"/>
        <w:spacing w:before="0" w:after="60" w:line="300" w:lineRule="auto"/>
        <w:ind w:firstLine="0"/>
      </w:pPr>
      <w:r>
        <w:rPr>
          <w:rFonts w:ascii="Times New Roman" w:hAnsi="Times New Roman" w:eastAsia="宋体" w:cs="Times New Roman"/>
          <w:b w:val="0"/>
          <w:color w:val="000000"/>
          <w:sz w:val="22"/>
        </w:rPr>
        <w:t xml:space="preserve">3.4 轮径磨耗量计算</w:t>
      </w:r>
    </w:p>
    <w:p>
      <w:pPr>
        <w:pStyle w:val="BodyText"/>
        <w:spacing w:before="0" w:after="60" w:line="300" w:lineRule="auto"/>
        <w:ind w:firstLine="0"/>
      </w:pPr>
      <w:r>
        <w:rPr>
          <w:rFonts w:ascii="Times New Roman" w:hAnsi="Times New Roman" w:eastAsia="宋体" w:cs="Times New Roman"/>
          <w:b w:val="0"/>
          <w:color w:val="000000"/>
          <w:sz w:val="22"/>
        </w:rPr>
        <w:t xml:space="preserve">3.5 群体平均磨耗曲线构建</w:t>
      </w:r>
    </w:p>
    <w:p>
      <w:pPr>
        <w:pStyle w:val="BodyText"/>
        <w:spacing w:before="0" w:after="60" w:line="300" w:lineRule="auto"/>
        <w:ind w:firstLine="0"/>
      </w:pPr>
      <w:r>
        <w:rPr>
          <w:rFonts w:ascii="Times New Roman" w:hAnsi="Times New Roman" w:eastAsia="宋体" w:cs="Times New Roman"/>
          <w:b w:val="0"/>
          <w:color w:val="000000"/>
          <w:sz w:val="22"/>
        </w:rPr>
        <w:t xml:space="preserve">3.6 不同车辆、轴位和左右轮磨耗差异分析</w:t>
      </w:r>
    </w:p>
    <w:p>
      <w:pPr>
        <w:pStyle w:val="BodyText"/>
        <w:spacing w:before="0" w:after="60" w:line="300" w:lineRule="auto"/>
        <w:ind w:firstLine="0"/>
      </w:pPr>
      <w:r>
        <w:rPr>
          <w:rFonts w:ascii="Times New Roman" w:hAnsi="Times New Roman" w:eastAsia="宋体" w:cs="Times New Roman"/>
          <w:b w:val="0"/>
          <w:color w:val="000000"/>
          <w:sz w:val="22"/>
        </w:rPr>
        <w:t xml:space="preserve">3.7 实测轮径磨耗速率提取与统计分析</w:t>
      </w:r>
    </w:p>
    <w:p>
      <w:pPr>
        <w:pStyle w:val="BodyText"/>
        <w:spacing w:before="0" w:after="60" w:line="300" w:lineRule="auto"/>
        <w:ind w:firstLine="0"/>
      </w:pPr>
      <w:r>
        <w:rPr>
          <w:rFonts w:ascii="Times New Roman" w:hAnsi="Times New Roman" w:eastAsia="宋体" w:cs="Times New Roman"/>
          <w:b w:val="0"/>
          <w:color w:val="000000"/>
          <w:sz w:val="22"/>
        </w:rPr>
        <w:t xml:space="preserve">3.8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第4章 群体退化基准与轮径磨耗趋势预测问题定义</w:t>
      </w:r>
    </w:p>
    <w:p>
      <w:pPr>
        <w:pStyle w:val="BodyText"/>
        <w:spacing w:before="0" w:after="60" w:line="300" w:lineRule="auto"/>
        <w:ind w:firstLine="0"/>
      </w:pPr>
      <w:r>
        <w:rPr>
          <w:rFonts w:ascii="Times New Roman" w:hAnsi="Times New Roman" w:eastAsia="宋体" w:cs="Times New Roman"/>
          <w:b w:val="0"/>
          <w:color w:val="000000"/>
          <w:sz w:val="22"/>
        </w:rPr>
        <w:t xml:space="preserve">4.1 轮径磨耗趋势预测问题定义</w:t>
      </w:r>
    </w:p>
    <w:p>
      <w:pPr>
        <w:pStyle w:val="BodyText"/>
        <w:spacing w:before="0" w:after="60" w:line="300" w:lineRule="auto"/>
        <w:ind w:firstLine="0"/>
      </w:pPr>
      <w:r>
        <w:rPr>
          <w:rFonts w:ascii="Times New Roman" w:hAnsi="Times New Roman" w:eastAsia="宋体" w:cs="Times New Roman"/>
          <w:b w:val="0"/>
          <w:color w:val="000000"/>
          <w:sz w:val="22"/>
        </w:rPr>
        <w:t xml:space="preserve">4.2 候选退化基准函数形式</w:t>
      </w:r>
    </w:p>
    <w:p>
      <w:pPr>
        <w:pStyle w:val="BodyText"/>
        <w:spacing w:before="0" w:after="60" w:line="300" w:lineRule="auto"/>
        <w:ind w:firstLine="0"/>
      </w:pPr>
      <w:r>
        <w:rPr>
          <w:rFonts w:ascii="Times New Roman" w:hAnsi="Times New Roman" w:eastAsia="宋体" w:cs="Times New Roman"/>
          <w:b w:val="0"/>
          <w:color w:val="000000"/>
          <w:sz w:val="22"/>
        </w:rPr>
        <w:t xml:space="preserve">4.3 基于 AIC/BIC 的基准函数选取</w:t>
      </w:r>
    </w:p>
    <w:p>
      <w:pPr>
        <w:pStyle w:val="BodyText"/>
        <w:spacing w:before="0" w:after="60" w:line="300" w:lineRule="auto"/>
        <w:ind w:firstLine="0"/>
      </w:pPr>
      <w:r>
        <w:rPr>
          <w:rFonts w:ascii="Times New Roman" w:hAnsi="Times New Roman" w:eastAsia="宋体" w:cs="Times New Roman"/>
          <w:b w:val="0"/>
          <w:color w:val="000000"/>
          <w:sz w:val="22"/>
        </w:rPr>
        <w:t xml:space="preserve">4.4</w:t>
      </w:r>
      <w:r>
        <w:rPr>
          <w:rFonts w:ascii="Times New Roman" w:hAnsi="Times New Roman" w:eastAsia="宋体" w:cs="Times New Roman"/>
          <w:b w:val="0"/>
          <w:color w:val="000000"/>
          <w:sz w:val="22"/>
        </w:rPr>
        <w:t xml:space="preserve"> </w:t>
      </w:r>
      <w:r>
        <w:rPr>
          <w:rFonts w:ascii="Times New Roman" w:hAnsi="Times New Roman" w:eastAsia="宋体" w:cs="Times New Roman"/>
          <w:b w:val="0"/>
          <w:color w:val="000000"/>
          <w:sz w:val="22"/>
        </w:rPr>
        <w:t xml:space="preserve">“</w:t>
      </w:r>
      <w:r>
        <w:rPr>
          <w:rFonts w:ascii="Times New Roman" w:hAnsi="Times New Roman" w:eastAsia="宋体" w:cs="Times New Roman"/>
          <w:b w:val="0"/>
          <w:color w:val="000000"/>
          <w:sz w:val="22"/>
        </w:rPr>
        <w:t xml:space="preserve">群体基准 + 个体残差修正</w:t>
      </w:r>
      <w:r>
        <w:rPr>
          <w:rFonts w:ascii="Times New Roman" w:hAnsi="Times New Roman" w:eastAsia="宋体" w:cs="Times New Roman"/>
          <w:b w:val="0"/>
          <w:color w:val="000000"/>
          <w:sz w:val="22"/>
        </w:rPr>
        <w:t xml:space="preserve">”</w:t>
      </w:r>
      <w:r>
        <w:rPr>
          <w:rFonts w:ascii="Times New Roman" w:hAnsi="Times New Roman" w:eastAsia="宋体" w:cs="Times New Roman"/>
          <w:b w:val="0"/>
          <w:color w:val="000000"/>
          <w:sz w:val="22"/>
        </w:rPr>
        <w:t xml:space="preserve">预测框架</w:t>
      </w:r>
    </w:p>
    <w:p>
      <w:pPr>
        <w:pStyle w:val="BodyText"/>
        <w:spacing w:before="0" w:after="60" w:line="300" w:lineRule="auto"/>
        <w:ind w:firstLine="0"/>
      </w:pPr>
      <w:r>
        <w:rPr>
          <w:rFonts w:ascii="Times New Roman" w:hAnsi="Times New Roman" w:eastAsia="宋体" w:cs="Times New Roman"/>
          <w:b w:val="0"/>
          <w:color w:val="000000"/>
          <w:sz w:val="22"/>
        </w:rPr>
        <w:t xml:space="preserve">4.5 输入特征设计与训练样本构造</w:t>
      </w:r>
    </w:p>
    <w:p>
      <w:pPr>
        <w:pStyle w:val="BodyText"/>
        <w:spacing w:before="0" w:after="60" w:line="300" w:lineRule="auto"/>
        <w:ind w:firstLine="0"/>
      </w:pPr>
      <w:r>
        <w:rPr>
          <w:rFonts w:ascii="Times New Roman" w:hAnsi="Times New Roman" w:eastAsia="宋体" w:cs="Times New Roman"/>
          <w:b w:val="0"/>
          <w:color w:val="000000"/>
          <w:sz w:val="22"/>
        </w:rPr>
        <w:t xml:space="preserve">4.6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第5章 物理约束 MSE-VI-BNN 轮径磨耗趋势预测模型</w:t>
      </w:r>
    </w:p>
    <w:p>
      <w:pPr>
        <w:pStyle w:val="BodyText"/>
        <w:spacing w:before="0" w:after="60" w:line="300" w:lineRule="auto"/>
        <w:ind w:firstLine="0"/>
      </w:pPr>
      <w:r>
        <w:rPr>
          <w:rFonts w:ascii="Times New Roman" w:hAnsi="Times New Roman" w:eastAsia="宋体" w:cs="Times New Roman"/>
          <w:b w:val="0"/>
          <w:color w:val="000000"/>
          <w:sz w:val="22"/>
        </w:rPr>
        <w:t xml:space="preserve">5.1 轮径磨耗趋势预测总体框架</w:t>
      </w:r>
    </w:p>
    <w:p>
      <w:pPr>
        <w:pStyle w:val="BodyText"/>
        <w:spacing w:before="0" w:after="60" w:line="300" w:lineRule="auto"/>
        <w:ind w:firstLine="0"/>
      </w:pPr>
      <w:r>
        <w:rPr>
          <w:rFonts w:ascii="Times New Roman" w:hAnsi="Times New Roman" w:eastAsia="宋体" w:cs="Times New Roman"/>
          <w:b w:val="0"/>
          <w:color w:val="000000"/>
          <w:sz w:val="22"/>
        </w:rPr>
        <w:t xml:space="preserve">5.2 VI-BNN 基本原理与网络结构设计</w:t>
      </w:r>
    </w:p>
    <w:p>
      <w:pPr>
        <w:pStyle w:val="BodyText"/>
        <w:spacing w:before="0" w:after="60" w:line="300" w:lineRule="auto"/>
        <w:ind w:firstLine="0"/>
      </w:pPr>
      <w:r>
        <w:rPr>
          <w:rFonts w:ascii="Times New Roman" w:hAnsi="Times New Roman" w:eastAsia="宋体" w:cs="Times New Roman"/>
          <w:b w:val="0"/>
          <w:color w:val="000000"/>
          <w:sz w:val="22"/>
        </w:rPr>
        <w:t xml:space="preserve">5.3 MSE 损失函数选择依据</w:t>
      </w:r>
    </w:p>
    <w:p>
      <w:pPr>
        <w:pStyle w:val="BodyText"/>
        <w:spacing w:before="0" w:after="60" w:line="300" w:lineRule="auto"/>
        <w:ind w:firstLine="0"/>
      </w:pPr>
      <w:r>
        <w:rPr>
          <w:rFonts w:ascii="Times New Roman" w:hAnsi="Times New Roman" w:eastAsia="宋体" w:cs="Times New Roman"/>
          <w:b w:val="0"/>
          <w:color w:val="000000"/>
          <w:sz w:val="22"/>
        </w:rPr>
        <w:t xml:space="preserve">5.4 预测空间物理约束构建</w:t>
      </w:r>
    </w:p>
    <w:p>
      <w:pPr>
        <w:pStyle w:val="BodyText"/>
        <w:spacing w:before="0" w:after="60" w:line="300" w:lineRule="auto"/>
        <w:ind w:firstLine="0"/>
      </w:pPr>
      <w:r>
        <w:rPr>
          <w:rFonts w:ascii="Times New Roman" w:hAnsi="Times New Roman" w:eastAsia="宋体" w:cs="Times New Roman"/>
          <w:b w:val="0"/>
          <w:color w:val="000000"/>
          <w:sz w:val="22"/>
        </w:rPr>
        <w:t xml:space="preserve">　　5.4.1 磨耗单调性约束</w:t>
      </w:r>
    </w:p>
    <w:p>
      <w:pPr>
        <w:pStyle w:val="BodyText"/>
        <w:spacing w:before="0" w:after="60" w:line="300" w:lineRule="auto"/>
        <w:ind w:firstLine="0"/>
      </w:pPr>
      <w:r>
        <w:rPr>
          <w:rFonts w:ascii="Times New Roman" w:hAnsi="Times New Roman" w:eastAsia="宋体" w:cs="Times New Roman"/>
          <w:b w:val="0"/>
          <w:color w:val="000000"/>
          <w:sz w:val="22"/>
        </w:rPr>
        <w:t xml:space="preserve">　　5.4.2 磨耗速率约束</w:t>
      </w:r>
    </w:p>
    <w:p>
      <w:pPr>
        <w:pStyle w:val="BodyText"/>
        <w:spacing w:before="0" w:after="60" w:line="300" w:lineRule="auto"/>
        <w:ind w:firstLine="0"/>
      </w:pPr>
      <w:r>
        <w:rPr>
          <w:rFonts w:ascii="Times New Roman" w:hAnsi="Times New Roman" w:eastAsia="宋体" w:cs="Times New Roman"/>
          <w:b w:val="0"/>
          <w:color w:val="000000"/>
          <w:sz w:val="22"/>
        </w:rPr>
        <w:t xml:space="preserve">5.5 损失函数设计与模型训练策略</w:t>
      </w:r>
    </w:p>
    <w:p>
      <w:pPr>
        <w:pStyle w:val="BodyText"/>
        <w:spacing w:before="0" w:after="60" w:line="300" w:lineRule="auto"/>
        <w:ind w:firstLine="0"/>
      </w:pPr>
      <w:r>
        <w:rPr>
          <w:rFonts w:ascii="Times New Roman" w:hAnsi="Times New Roman" w:eastAsia="宋体" w:cs="Times New Roman"/>
          <w:b w:val="0"/>
          <w:color w:val="000000"/>
          <w:sz w:val="22"/>
        </w:rPr>
        <w:t xml:space="preserve">5.6 基于 MC 采样与残差校准的预测区间构建</w:t>
      </w:r>
    </w:p>
    <w:p>
      <w:pPr>
        <w:pStyle w:val="BodyText"/>
        <w:spacing w:before="0" w:after="60" w:line="300" w:lineRule="auto"/>
        <w:ind w:firstLine="0"/>
      </w:pPr>
      <w:r>
        <w:rPr>
          <w:rFonts w:ascii="Times New Roman" w:hAnsi="Times New Roman" w:eastAsia="宋体" w:cs="Times New Roman"/>
          <w:b w:val="0"/>
          <w:color w:val="000000"/>
          <w:sz w:val="22"/>
        </w:rPr>
        <w:t xml:space="preserve">5.7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第6章 轮径磨耗趋势预测实验与结果分析</w:t>
      </w:r>
    </w:p>
    <w:p>
      <w:pPr>
        <w:pStyle w:val="BodyText"/>
        <w:spacing w:before="0" w:after="60" w:line="300" w:lineRule="auto"/>
        <w:ind w:firstLine="0"/>
      </w:pPr>
      <w:r>
        <w:rPr>
          <w:rFonts w:ascii="Times New Roman" w:hAnsi="Times New Roman" w:eastAsia="宋体" w:cs="Times New Roman"/>
          <w:b w:val="0"/>
          <w:color w:val="000000"/>
          <w:sz w:val="22"/>
        </w:rPr>
        <w:t xml:space="preserve">6.1 实验数据划分与评价指标</w:t>
      </w:r>
    </w:p>
    <w:p>
      <w:pPr>
        <w:pStyle w:val="BodyText"/>
        <w:spacing w:before="0" w:after="60" w:line="300" w:lineRule="auto"/>
        <w:ind w:firstLine="0"/>
      </w:pPr>
      <w:r>
        <w:rPr>
          <w:rFonts w:ascii="Times New Roman" w:hAnsi="Times New Roman" w:eastAsia="宋体" w:cs="Times New Roman"/>
          <w:b w:val="0"/>
          <w:color w:val="000000"/>
          <w:sz w:val="22"/>
        </w:rPr>
        <w:t xml:space="preserve">6.2 对比模型与参数设置</w:t>
      </w:r>
    </w:p>
    <w:p>
      <w:pPr>
        <w:pStyle w:val="BodyText"/>
        <w:spacing w:before="0" w:after="60" w:line="300" w:lineRule="auto"/>
        <w:ind w:firstLine="0"/>
      </w:pPr>
      <w:r>
        <w:rPr>
          <w:rFonts w:ascii="Times New Roman" w:hAnsi="Times New Roman" w:eastAsia="宋体" w:cs="Times New Roman"/>
          <w:b w:val="0"/>
          <w:color w:val="000000"/>
          <w:sz w:val="22"/>
        </w:rPr>
        <w:t xml:space="preserve">6.3 LSTM、GRU、BiLSTM 与标准 VI-BNN 预测结果对比</w:t>
      </w:r>
    </w:p>
    <w:p>
      <w:pPr>
        <w:pStyle w:val="BodyText"/>
        <w:spacing w:before="0" w:after="60" w:line="300" w:lineRule="auto"/>
        <w:ind w:firstLine="0"/>
      </w:pPr>
      <w:r>
        <w:rPr>
          <w:rFonts w:ascii="Times New Roman" w:hAnsi="Times New Roman" w:eastAsia="宋体" w:cs="Times New Roman"/>
          <w:b w:val="0"/>
          <w:color w:val="000000"/>
          <w:sz w:val="22"/>
        </w:rPr>
        <w:t xml:space="preserve">6.4 物理约束 VI-BNN 预测结果分析</w:t>
      </w:r>
    </w:p>
    <w:p>
      <w:pPr>
        <w:pStyle w:val="BodyText"/>
        <w:spacing w:before="0" w:after="60" w:line="300" w:lineRule="auto"/>
        <w:ind w:firstLine="0"/>
      </w:pPr>
      <w:r>
        <w:rPr>
          <w:rFonts w:ascii="Times New Roman" w:hAnsi="Times New Roman" w:eastAsia="宋体" w:cs="Times New Roman"/>
          <w:b w:val="0"/>
          <w:color w:val="000000"/>
          <w:sz w:val="22"/>
        </w:rPr>
        <w:t xml:space="preserve">6.5 消融实验</w:t>
      </w:r>
    </w:p>
    <w:p>
      <w:pPr>
        <w:pStyle w:val="BodyText"/>
        <w:spacing w:before="0" w:after="60" w:line="300" w:lineRule="auto"/>
        <w:ind w:firstLine="0"/>
      </w:pPr>
      <w:r>
        <w:rPr>
          <w:rFonts w:ascii="Times New Roman" w:hAnsi="Times New Roman" w:eastAsia="宋体" w:cs="Times New Roman"/>
          <w:b w:val="0"/>
          <w:color w:val="000000"/>
          <w:sz w:val="22"/>
        </w:rPr>
        <w:t xml:space="preserve">　　6.5.1 单调性约束消融</w:t>
      </w:r>
    </w:p>
    <w:p>
      <w:pPr>
        <w:pStyle w:val="BodyText"/>
        <w:spacing w:before="0" w:after="60" w:line="300" w:lineRule="auto"/>
        <w:ind w:firstLine="0"/>
      </w:pPr>
      <w:r>
        <w:rPr>
          <w:rFonts w:ascii="Times New Roman" w:hAnsi="Times New Roman" w:eastAsia="宋体" w:cs="Times New Roman"/>
          <w:b w:val="0"/>
          <w:color w:val="000000"/>
          <w:sz w:val="22"/>
        </w:rPr>
        <w:t xml:space="preserve">　　6.5.2 磨耗速率约束消融</w:t>
      </w:r>
    </w:p>
    <w:p>
      <w:pPr>
        <w:pStyle w:val="BodyText"/>
        <w:spacing w:before="0" w:after="60" w:line="300" w:lineRule="auto"/>
        <w:ind w:firstLine="0"/>
      </w:pPr>
      <w:r>
        <w:rPr>
          <w:rFonts w:ascii="Times New Roman" w:hAnsi="Times New Roman" w:eastAsia="宋体" w:cs="Times New Roman"/>
          <w:b w:val="0"/>
          <w:color w:val="000000"/>
          <w:sz w:val="22"/>
        </w:rPr>
        <w:t xml:space="preserve">　　6.5.3 群体退化基准消融</w:t>
      </w:r>
    </w:p>
    <w:p>
      <w:pPr>
        <w:pStyle w:val="BodyText"/>
        <w:spacing w:before="0" w:after="60" w:line="300" w:lineRule="auto"/>
        <w:ind w:firstLine="0"/>
      </w:pPr>
      <w:r>
        <w:rPr>
          <w:rFonts w:ascii="Times New Roman" w:hAnsi="Times New Roman" w:eastAsia="宋体" w:cs="Times New Roman"/>
          <w:b w:val="0"/>
          <w:color w:val="000000"/>
          <w:sz w:val="22"/>
        </w:rPr>
        <w:t xml:space="preserve">6.6 预测区间质量评价</w:t>
      </w:r>
    </w:p>
    <w:p>
      <w:pPr>
        <w:pStyle w:val="BodyText"/>
        <w:spacing w:before="0" w:after="60" w:line="300" w:lineRule="auto"/>
        <w:ind w:firstLine="0"/>
      </w:pPr>
      <w:r>
        <w:rPr>
          <w:rFonts w:ascii="Times New Roman" w:hAnsi="Times New Roman" w:eastAsia="宋体" w:cs="Times New Roman"/>
          <w:b w:val="0"/>
          <w:color w:val="000000"/>
          <w:sz w:val="22"/>
        </w:rPr>
        <w:t xml:space="preserve">6.7 典型车轮个体预测案例分析</w:t>
      </w:r>
    </w:p>
    <w:p>
      <w:pPr>
        <w:pStyle w:val="BodyText"/>
        <w:spacing w:before="0" w:after="60" w:line="300" w:lineRule="auto"/>
        <w:ind w:firstLine="0"/>
      </w:pPr>
      <w:r>
        <w:rPr>
          <w:rFonts w:ascii="Times New Roman" w:hAnsi="Times New Roman" w:eastAsia="宋体" w:cs="Times New Roman"/>
          <w:b w:val="0"/>
          <w:color w:val="000000"/>
          <w:sz w:val="22"/>
        </w:rPr>
        <w:t xml:space="preserve">6.8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第7章 结论与展望</w:t>
      </w:r>
    </w:p>
    <w:p>
      <w:pPr>
        <w:pStyle w:val="BodyText"/>
        <w:spacing w:before="0" w:after="60" w:line="300" w:lineRule="auto"/>
        <w:ind w:firstLine="0"/>
      </w:pPr>
      <w:r>
        <w:rPr>
          <w:rFonts w:ascii="Times New Roman" w:hAnsi="Times New Roman" w:eastAsia="宋体" w:cs="Times New Roman"/>
          <w:b w:val="0"/>
          <w:color w:val="000000"/>
          <w:sz w:val="22"/>
        </w:rPr>
        <w:t xml:space="preserve">7.1 主要研究结论</w:t>
      </w:r>
    </w:p>
    <w:p>
      <w:pPr>
        <w:pStyle w:val="BodyText"/>
        <w:spacing w:before="0" w:after="60" w:line="300" w:lineRule="auto"/>
        <w:ind w:firstLine="0"/>
      </w:pPr>
      <w:r>
        <w:rPr>
          <w:rFonts w:ascii="Times New Roman" w:hAnsi="Times New Roman" w:eastAsia="宋体" w:cs="Times New Roman"/>
          <w:b w:val="0"/>
          <w:color w:val="000000"/>
          <w:sz w:val="22"/>
        </w:rPr>
        <w:t xml:space="preserve">7.2 主要创新点总结</w:t>
      </w:r>
    </w:p>
    <w:p>
      <w:pPr>
        <w:pStyle w:val="BodyText"/>
        <w:spacing w:before="0" w:after="60" w:line="300" w:lineRule="auto"/>
        <w:ind w:firstLine="0"/>
      </w:pPr>
      <w:r>
        <w:rPr>
          <w:rFonts w:ascii="Times New Roman" w:hAnsi="Times New Roman" w:eastAsia="宋体" w:cs="Times New Roman"/>
          <w:b w:val="0"/>
          <w:color w:val="000000"/>
          <w:sz w:val="22"/>
        </w:rPr>
        <w:t xml:space="preserve">7.3 研究不足</w:t>
      </w:r>
    </w:p>
    <w:p>
      <w:pPr>
        <w:pStyle w:val="BodyText"/>
        <w:spacing w:before="0" w:after="60" w:line="300" w:lineRule="auto"/>
        <w:ind w:firstLine="0"/>
      </w:pPr>
      <w:r>
        <w:rPr>
          <w:rFonts w:ascii="Times New Roman" w:hAnsi="Times New Roman" w:eastAsia="宋体" w:cs="Times New Roman"/>
          <w:b w:val="0"/>
          <w:color w:val="000000"/>
          <w:sz w:val="22"/>
        </w:rPr>
        <w:t xml:space="preserve">7.4 后续研究展望</w:t>
      </w:r>
    </w:p>
    <w:p>
      <w:pPr>
        <w:pStyle w:val="BodyText"/>
        <w:spacing w:before="0" w:after="120" w:line="360" w:lineRule="auto"/>
        <w:ind w:firstLine="420"/>
      </w:pPr>
      <w:r>
        <w:rPr>
          <w:bCs/>
          <w:rFonts w:ascii="Times New Roman" w:hAnsi="Times New Roman" w:eastAsia="宋体" w:cs="Times New Roman"/>
          <w:b/>
          <w:color w:val="000000"/>
          <w:sz w:val="24"/>
        </w:rPr>
        <w:t xml:space="preserve">参考文献</w:t>
      </w:r>
    </w:p>
    <w:p>
      <w:pPr>
        <w:pStyle w:val="BodyText"/>
        <w:spacing w:before="0" w:after="120" w:line="360" w:lineRule="auto"/>
        <w:ind w:firstLine="420"/>
      </w:pPr>
      <w:r>
        <w:rPr>
          <w:bCs/>
          <w:rFonts w:ascii="Times New Roman" w:hAnsi="Times New Roman" w:eastAsia="宋体" w:cs="Times New Roman"/>
          <w:b/>
          <w:color w:val="000000"/>
          <w:sz w:val="24"/>
        </w:rPr>
        <w:t xml:space="preserve">致谢</w:t>
      </w:r>
    </w:p>
    <w:p>
      <w:pPr>
        <w:pStyle w:val="BodyText"/>
        <w:spacing w:before="0" w:after="120" w:line="360" w:lineRule="auto"/>
        <w:ind w:firstLine="420"/>
      </w:pPr>
      <w:r>
        <w:rPr>
          <w:bCs/>
          <w:rFonts w:ascii="Times New Roman" w:hAnsi="Times New Roman" w:eastAsia="宋体" w:cs="Times New Roman"/>
          <w:b/>
          <w:color w:val="000000"/>
          <w:sz w:val="24"/>
        </w:rPr>
        <w:t xml:space="preserve">攻读学位期间发表的学术论文及科研成果</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2"/>
    <w:bookmarkStart w:id="37" w:name="四技术路线"/>
    <w:p>
      <w:pPr>
        <w:pStyle w:val="Heading2"/>
        <w:spacing w:before="240" w:after="120" w:line="360" w:lineRule="auto"/>
        <w:ind w:firstLine="0"/>
      </w:pPr>
      <w:r>
        <w:rPr>
          <w:rFonts w:ascii="Times New Roman" w:hAnsi="Times New Roman" w:eastAsia="黑体" w:cs="Times New Roman"/>
          <w:b/>
          <w:color w:val="000000"/>
          <w:sz w:val="28"/>
        </w:rPr>
        <w:t xml:space="preserve">四、技术路线</w:t>
      </w:r>
    </w:p>
    <w:bookmarkStart w:id="33" w:name="一技术路线总述"/>
    <w:p>
      <w:pPr>
        <w:pStyle w:val="Heading3"/>
        <w:spacing w:before="120" w:after="60" w:line="360" w:lineRule="auto"/>
        <w:ind w:firstLine="0"/>
      </w:pPr>
      <w:r>
        <w:rPr>
          <w:rFonts w:ascii="Times New Roman" w:hAnsi="Times New Roman" w:eastAsia="楷体" w:cs="Times New Roman"/>
          <w:b/>
          <w:color w:val="000000"/>
          <w:sz w:val="24"/>
        </w:rPr>
        <w:t xml:space="preserve">（一）技术路线总述</w:t>
      </w:r>
    </w:p>
    <w:p>
      <w:pPr>
        <w:pStyle w:val="FirstParagraph"/>
        <w:spacing w:before="0" w:after="120" w:line="360" w:lineRule="auto"/>
        <w:ind w:firstLine="420"/>
      </w:pPr>
      <w:r>
        <w:rPr>
          <w:rFonts w:ascii="Times New Roman" w:hAnsi="Times New Roman" w:eastAsia="宋体" w:cs="Times New Roman"/>
          <w:color w:val="000000"/>
          <w:sz w:val="24"/>
        </w:rPr>
        <w:t xml:space="preserve">本文技术路线遵循”机理仿真与实测分析并行—物理约束确定—问题建模—模型构建—区间输出—实验验证”的逻辑，分为双路径数据采集、五个阶段递进和七步实施流程。</w:t>
      </w:r>
    </w:p>
    <w:bookmarkEnd w:id="33"/>
    <w:bookmarkStart w:id="34" w:name="二技术路线框图文字版"/>
    <w:p>
      <w:pPr>
        <w:pStyle w:val="Heading3"/>
        <w:spacing w:before="120" w:after="60" w:line="360" w:lineRule="auto"/>
        <w:ind w:firstLine="0"/>
      </w:pPr>
      <w:r>
        <w:rPr>
          <w:rFonts w:ascii="Times New Roman" w:hAnsi="Times New Roman" w:eastAsia="楷体" w:cs="Times New Roman"/>
          <w:b/>
          <w:color w:val="000000"/>
          <w:sz w:val="24"/>
        </w:rPr>
        <w:t xml:space="preserve">（二）技术路线框图（文字版）</w:t>
      </w:r>
    </w:p>
    <w:p>
      <w:pPr>
        <w:pStyle w:val="FirstParagraph"/>
        <w:spacing w:before="0" w:after="120" w:line="360" w:lineRule="auto"/>
        <w:ind w:firstLine="420"/>
      </w:pPr>
      <w:r>
        <w:rPr>
          <w:bCs/>
          <w:rFonts w:ascii="Times New Roman" w:hAnsi="Times New Roman" w:eastAsia="宋体" w:cs="Times New Roman"/>
          <w:b/>
          <w:color w:val="000000"/>
          <w:sz w:val="24"/>
        </w:rPr>
        <w:t xml:space="preserve">【研究目标】</w:t>
      </w:r>
    </w:p>
    <w:p>
      <w:pPr>
        <w:pStyle w:val="BodyText"/>
        <w:spacing w:before="0" w:after="120" w:line="360" w:lineRule="auto"/>
        <w:ind w:firstLine="420"/>
      </w:pPr>
      <w:r>
        <w:rPr>
          <w:rFonts w:ascii="Times New Roman" w:hAnsi="Times New Roman" w:eastAsia="宋体" w:cs="Times New Roman"/>
          <w:color w:val="000000"/>
          <w:sz w:val="24"/>
        </w:rPr>
        <w:t xml:space="preserve">地铁车轮轮径磨耗趋势预测（单镟修周期内磨耗量</w:t>
      </w:r>
      <w:r>
        <w:rPr>
          <w:rFonts w:ascii="Times New Roman" w:hAnsi="Times New Roman" w:eastAsia="宋体" w:cs="Times New Roman"/>
          <w:color w:val="000000"/>
          <w:sz w:val="24"/>
        </w:rPr>
        <w:t xml:space="preserve"> </w:t>
      </w:r>
      <m:oMath>
        <m:r>
          <m:t>W</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随局部累计里程</w:t>
      </w:r>
      <w:r>
        <w:rPr>
          <w:rFonts w:ascii="Times New Roman" w:hAnsi="Times New Roman" w:eastAsia="宋体" w:cs="Times New Roman"/>
          <w:color w:val="000000"/>
          <w:sz w:val="24"/>
        </w:rPr>
        <w:t xml:space="preserve"> </w:t>
      </w:r>
      <m:oMath>
        <m:r>
          <m:t>d</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的演变趋势）</w:t>
      </w:r>
    </w:p>
    <w:p>
      <w:pPr>
        <w:pStyle w:val="BodyText"/>
        <w:spacing w:before="0" w:after="120" w:line="360" w:lineRule="auto"/>
        <w:ind w:firstLine="420"/>
      </w:pPr>
      <w:r>
        <w:rPr>
          <w:bCs/>
          <w:rFonts w:ascii="Times New Roman" w:hAnsi="Times New Roman" w:eastAsia="宋体" w:cs="Times New Roman"/>
          <w:b/>
          <w:color w:val="000000"/>
          <w:sz w:val="24"/>
        </w:rPr>
        <w:t xml:space="preserve">【路径 A：Simpack 磨耗机理仿真】</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建立 Simpack 地铁车辆动力学模型</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设置牵引/制动等典型运行工况</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基于 Archard 磨耗模型仿真踏面磨耗深度</w:t>
      </w:r>
    </w:p>
    <w:p>
      <w:pPr>
        <w:numPr>
          <w:ilvl w:val="0"/>
          <w:numId w:val="1001"/>
        </w:numPr>
        <w:spacing w:before="0" w:after="120" w:line="360" w:lineRule="auto"/>
        <w:ind w:firstLine="420"/>
      </w:pPr>
      <w:r>
        <w:rPr>
          <w:rFonts w:ascii="Times New Roman" w:hAnsi="Times New Roman" w:eastAsia="宋体" w:cs="Times New Roman"/>
          <w:color w:val="000000"/>
          <w:sz w:val="24"/>
        </w:rPr>
        <w:t xml:space="preserve">换算等效轮径磨耗量：</w:t>
      </w:r>
      <m:oMath>
        <m:sSub>
          <m:e>
            <m:r>
              <m:t>W</m:t>
            </m:r>
          </m:e>
          <m:sub>
            <m:r>
              <m:t>D</m:t>
            </m:r>
            <m:r>
              <m:rPr>
                <m:sty m:val="p"/>
              </m:rPr>
              <m:t>,</m:t>
            </m:r>
            <m:r>
              <m:rPr>
                <m:nor/>
                <m:sty m:val="p"/>
              </m:rPr>
              <m:t>sim</m:t>
            </m:r>
          </m:sub>
        </m:sSub>
        <m:d>
          <m:dPr>
            <m:begChr m:val="("/>
            <m:endChr m:val=")"/>
            <m:sepChr m:val=""/>
            <m:grow/>
          </m:dPr>
          <m:e>
            <m:r>
              <m:t>d</m:t>
            </m:r>
          </m:e>
        </m:d>
        <m:r>
          <m:rPr>
            <m:sty m:val="p"/>
          </m:rPr>
          <m:t>=</m:t>
        </m:r>
        <m:r>
          <m:t>2</m:t>
        </m:r>
        <m:r>
          <m:t>h</m:t>
        </m:r>
        <m:d>
          <m:dPr>
            <m:begChr m:val="("/>
            <m:endChr m:val=")"/>
            <m:sepChr m:val=""/>
            <m:grow/>
          </m:dPr>
          <m:e>
            <m:sSub>
              <m:e>
                <m:r>
                  <m:t>y</m:t>
                </m:r>
              </m:e>
              <m:sub>
                <m:r>
                  <m:t>m</m:t>
                </m:r>
              </m:sub>
            </m:sSub>
            <m:r>
              <m:rPr>
                <m:sty m:val="p"/>
              </m:rPr>
              <m:t>,</m:t>
            </m:r>
            <m:r>
              <m:t>d</m:t>
            </m:r>
          </m:e>
        </m:d>
      </m:oMath>
    </w:p>
    <w:p>
      <w:pPr>
        <w:numPr>
          <w:ilvl w:val="0"/>
          <w:numId w:val="1001"/>
        </w:numPr>
        <w:spacing w:before="0" w:after="120" w:line="360" w:lineRule="auto"/>
        <w:ind w:firstLine="420"/>
      </w:pPr>
      <w:r>
        <w:rPr>
          <w:rFonts w:ascii="Times New Roman" w:hAnsi="Times New Roman" w:eastAsia="宋体" w:cs="Times New Roman"/>
          <w:color w:val="000000"/>
          <w:sz w:val="24"/>
        </w:rPr>
        <w:t xml:space="preserve">提取仿真磨耗速率，得到集合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【路径 B：连续轮径实测数据处理】</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整理 400 天/960 车轮连续检测数据</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镟修周期切分与局部里程归零</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构建磨耗量：</w:t>
      </w:r>
      <m:oMath>
        <m:r>
          <m:t>W</m:t>
        </m:r>
        <m:r>
          <m:rPr>
            <m:sty m:val="p"/>
          </m:rPr>
          <m:t>=</m:t>
        </m:r>
        <m:sSub>
          <m:e>
            <m:r>
              <m:t>D</m:t>
            </m:r>
          </m:e>
          <m:sub>
            <m:r>
              <m:t>0</m:t>
            </m:r>
          </m:sub>
        </m:sSub>
        <m:r>
          <m:rPr>
            <m:sty m:val="p"/>
          </m:rPr>
          <m:t>−</m:t>
        </m:r>
        <m:r>
          <m:t>D</m:t>
        </m:r>
      </m:oMath>
    </w:p>
    <w:p>
      <w:pPr>
        <w:numPr>
          <w:ilvl w:val="0"/>
          <w:numId w:val="1002"/>
        </w:numPr>
        <w:spacing w:before="0" w:after="120" w:line="360" w:lineRule="auto"/>
        <w:ind w:firstLine="420"/>
      </w:pPr>
      <w:r>
        <w:rPr>
          <w:rFonts w:ascii="Times New Roman" w:hAnsi="Times New Roman" w:eastAsia="宋体" w:cs="Times New Roman"/>
          <w:color w:val="000000"/>
          <w:sz w:val="24"/>
        </w:rPr>
        <w:t xml:space="preserve">因果滑动中位数平滑</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分析车辆/轴位/轮位磨耗差异</w:t>
      </w:r>
    </w:p>
    <w:p>
      <w:pPr>
        <w:numPr>
          <w:ilvl w:val="0"/>
          <w:numId w:val="1002"/>
        </w:numPr>
        <w:spacing w:before="0" w:after="120" w:line="360" w:lineRule="auto"/>
        <w:ind w:firstLine="420"/>
      </w:pPr>
      <w:r>
        <w:rPr>
          <w:rFonts w:ascii="Times New Roman" w:hAnsi="Times New Roman" w:eastAsia="宋体" w:cs="Times New Roman"/>
          <w:color w:val="000000"/>
          <w:sz w:val="24"/>
        </w:rPr>
        <w:t xml:space="preserve">滑动窗口回归提取实测磨耗速率，得到集合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1：磨耗规律分析与物理约束范围确定】</w:t>
      </w:r>
    </w:p>
    <w:p>
      <w:pPr>
        <w:numPr>
          <w:ilvl w:val="0"/>
          <w:numId w:val="1003"/>
        </w:numPr>
        <w:spacing w:before="0" w:after="120" w:line="360" w:lineRule="auto"/>
        <w:ind w:firstLine="420"/>
      </w:pPr>
      <w:r>
        <w:rPr>
          <w:rFonts w:ascii="Times New Roman" w:hAnsi="Times New Roman" w:eastAsia="宋体" w:cs="Times New Roman"/>
          <w:color w:val="000000"/>
          <w:sz w:val="24"/>
        </w:rPr>
        <w:t xml:space="preserve">得到仿真磨耗速率集合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与实测磨耗速率集合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确定磨耗速率上界：</w:t>
      </w:r>
      <m:oMath>
        <m:sSub>
          <m:e>
            <m:r>
              <m:t>r</m:t>
            </m:r>
          </m:e>
          <m:sub>
            <m:r>
              <m:rPr>
                <m:sty m:val="p"/>
              </m:rPr>
              <m:t>max</m:t>
            </m:r>
          </m:sub>
        </m:sSub>
        <m:r>
          <m:rPr>
            <m:sty m:val="p"/>
          </m:rPr>
          <m:t>=</m:t>
        </m:r>
        <m:r>
          <m:t>γ</m:t>
        </m:r>
        <m:r>
          <m:rPr>
            <m:sty m:val="p"/>
          </m:rPr>
          <m:t>⋅</m:t>
        </m:r>
        <m:r>
          <m:rPr>
            <m:sty m:val="p"/>
          </m:rPr>
          <m:t>max</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sSub>
              <m:e>
                <m:r>
                  <m:t>P</m:t>
                </m:r>
              </m:e>
              <m:sub>
                <m:r>
                  <m:t>95</m:t>
                </m:r>
              </m:sub>
            </m:sSub>
            <m:d>
              <m:dPr>
                <m:begChr m:val="("/>
                <m:endChr m:val=")"/>
                <m:sepChr m:val=""/>
                <m:grow/>
              </m:dPr>
              <m:e>
                <m:sSub>
                  <m:e>
                    <m:r>
                      <m:rPr>
                        <m:sty m:val="p"/>
                        <m:scr m:val="script"/>
                      </m:rPr>
                      <m:t>R</m:t>
                    </m:r>
                  </m:e>
                  <m:sub>
                    <m:r>
                      <m:rPr>
                        <m:nor/>
                        <m:sty m:val="p"/>
                      </m:rPr>
                      <m:t>real</m:t>
                    </m:r>
                  </m:sub>
                </m:sSub>
              </m:e>
            </m:d>
          </m:e>
        </m:d>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采用里程分箱对齐 960 个车轮磨耗序列，构建群体平均磨耗曲线</w:t>
      </w:r>
      <w:r>
        <w:rPr>
          <w:rFonts w:ascii="Times New Roman" w:hAnsi="Times New Roman" w:eastAsia="宋体" w:cs="Times New Roman"/>
          <w:color w:val="000000"/>
          <w:sz w:val="24"/>
        </w:rPr>
        <w:t xml:space="preserve"> </w:t>
      </w:r>
      <m:oMath>
        <m:acc>
          <m:accPr>
            <m:chr m:val="‾"/>
          </m:accPr>
          <m:e>
            <m:r>
              <m:t>W</m:t>
            </m:r>
          </m:e>
        </m:acc>
        <m:d>
          <m:dPr>
            <m:begChr m:val="("/>
            <m:endChr m:val=")"/>
            <m:sepChr m:val=""/>
            <m:grow/>
          </m:dPr>
          <m:e>
            <m:sSub>
              <m:e>
                <m:r>
                  <m:t>d</m:t>
                </m:r>
              </m:e>
              <m:sub>
                <m:r>
                  <m:t>b</m:t>
                </m:r>
              </m:sub>
            </m:sSub>
          </m:e>
        </m:d>
      </m:oMath>
    </w:p>
    <w:p>
      <w:pPr>
        <w:numPr>
          <w:ilvl w:val="0"/>
          <w:numId w:val="1003"/>
        </w:numPr>
        <w:spacing w:before="0" w:after="120" w:line="360" w:lineRule="auto"/>
        <w:ind w:firstLine="420"/>
      </w:pPr>
      <w:r>
        <w:rPr>
          <w:rFonts w:ascii="Times New Roman" w:hAnsi="Times New Roman" w:eastAsia="宋体" w:cs="Times New Roman"/>
          <w:color w:val="000000"/>
          <w:sz w:val="24"/>
        </w:rPr>
        <w:t xml:space="preserve">通过 AIC/BIC 选取最优群体退化基准函数</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2：轮径磨耗趋势预测问题建模】</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基本建模单元：单个车轮在一个镟修周期内的连续磨耗序列</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预测框架：</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p>
    <w:p>
      <w:pPr>
        <w:numPr>
          <w:ilvl w:val="0"/>
          <w:numId w:val="1004"/>
        </w:numPr>
        <w:spacing w:before="0" w:after="120" w:line="360" w:lineRule="auto"/>
        <w:ind w:firstLine="420"/>
      </w:pP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：群体退化基准；</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：VI-BNN 个体残差网络</w:t>
      </w:r>
    </w:p>
    <w:p>
      <w:pPr>
        <w:numPr>
          <w:ilvl w:val="0"/>
          <w:numId w:val="1004"/>
        </w:numPr>
        <w:spacing w:before="0" w:after="120" w:line="360" w:lineRule="auto"/>
        <w:ind w:firstLine="420"/>
      </w:pPr>
      <w:r>
        <w:rPr>
          <w:rFonts w:ascii="Times New Roman" w:hAnsi="Times New Roman" w:eastAsia="宋体" w:cs="Times New Roman"/>
          <w:color w:val="000000"/>
          <w:sz w:val="24"/>
        </w:rPr>
        <w:t xml:space="preserve">输入：局部累计里程、近期磨耗率、车辆/轴位/轮位特征、牵引/制动统计量等</w:t>
      </w:r>
    </w:p>
    <w:p>
      <w:pPr>
        <w:pStyle w:val="FirstParagraph"/>
        <w:spacing w:before="0" w:after="120" w:line="360" w:lineRule="auto"/>
        <w:ind w:firstLine="420"/>
      </w:pPr>
      <w:r>
        <w:rPr>
          <w:bCs/>
          <w:rFonts w:ascii="Times New Roman" w:hAnsi="Times New Roman" w:eastAsia="宋体" w:cs="Times New Roman"/>
          <w:b/>
          <w:color w:val="000000"/>
          <w:sz w:val="24"/>
        </w:rPr>
        <w:t xml:space="preserve">【阶段 3：物理约束 MSE-VI-BNN 预测模型构建】</w:t>
      </w:r>
    </w:p>
    <w:p>
      <w:pPr>
        <w:numPr>
          <w:ilvl w:val="0"/>
          <w:numId w:val="1005"/>
        </w:numPr>
        <w:spacing w:before="0" w:after="120" w:line="360" w:lineRule="auto"/>
        <w:ind w:firstLine="420"/>
      </w:pPr>
      <w:r>
        <w:rPr>
          <w:rFonts w:ascii="Times New Roman" w:hAnsi="Times New Roman" w:eastAsia="宋体" w:cs="Times New Roman"/>
          <w:color w:val="000000"/>
          <w:sz w:val="24"/>
        </w:rPr>
        <w:t xml:space="preserve">网络结构：确定性主干网络 + 末层 BayesLinear</w:t>
      </w:r>
    </w:p>
    <w:p>
      <w:pPr>
        <w:numPr>
          <w:ilvl w:val="0"/>
          <w:numId w:val="1005"/>
        </w:numPr>
        <w:spacing w:before="0" w:after="120" w:line="360" w:lineRule="auto"/>
        <w:ind w:firstLine="420"/>
      </w:pPr>
      <w:r>
        <w:rPr>
          <w:rFonts w:ascii="Times New Roman" w:hAnsi="Times New Roman" w:eastAsia="宋体" w:cs="Times New Roman"/>
          <w:color w:val="000000"/>
          <w:sz w:val="24"/>
        </w:rPr>
        <w:t xml:space="preserve">损失函数：</w:t>
      </w: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rate</m:t>
            </m:r>
          </m:sub>
        </m:sSub>
      </m:oMath>
    </w:p>
    <w:p>
      <w:pPr>
        <w:numPr>
          <w:ilvl w:val="0"/>
          <w:numId w:val="1005"/>
        </w:numPr>
        <w:spacing w:before="0" w:after="120" w:line="360" w:lineRule="auto"/>
        <w:ind w:firstLine="420"/>
      </w:pPr>
      <m:oMath>
        <m:sSub>
          <m:e>
            <m:r>
              <m:t>L</m:t>
            </m:r>
          </m:e>
          <m:sub>
            <m:r>
              <m:rPr>
                <m:nor/>
                <m:sty m:val="p"/>
              </m:rPr>
              <m:t>MSE-W</m:t>
            </m:r>
          </m:sub>
        </m:sSub>
      </m:oMath>
      <w:r>
        <w:rPr>
          <w:rFonts w:ascii="Times New Roman" w:hAnsi="Times New Roman" w:eastAsia="宋体" w:cs="Times New Roman"/>
          <w:color w:val="000000"/>
          <w:sz w:val="24"/>
        </w:rPr>
        <w:t xml:space="preserve">：保证点预测精度；</w:t>
      </w:r>
      <m:oMath>
        <m:sSub>
          <m:e>
            <m:r>
              <m:t>L</m:t>
            </m:r>
          </m:e>
          <m:sub>
            <m:r>
              <m:rPr>
                <m:nor/>
                <m:sty m:val="p"/>
              </m:rPr>
              <m:t>KL</m:t>
            </m:r>
          </m:sub>
        </m:sSub>
      </m:oMath>
      <w:r>
        <w:rPr>
          <w:rFonts w:ascii="Times New Roman" w:hAnsi="Times New Roman" w:eastAsia="宋体" w:cs="Times New Roman"/>
          <w:color w:val="000000"/>
          <w:sz w:val="24"/>
        </w:rPr>
        <w:t xml:space="preserve">：保留权重不确定性</w:t>
      </w:r>
    </w:p>
    <w:p>
      <w:pPr>
        <w:numPr>
          <w:ilvl w:val="0"/>
          <w:numId w:val="1005"/>
        </w:numPr>
        <w:spacing w:before="0" w:after="120" w:line="360" w:lineRule="auto"/>
        <w:ind w:firstLine="420"/>
      </w:pPr>
      <m:oMath>
        <m:sSub>
          <m:e>
            <m:r>
              <m:t>L</m:t>
            </m:r>
          </m:e>
          <m:sub>
            <m:r>
              <m:rPr>
                <m:nor/>
                <m:sty m:val="p"/>
              </m:rPr>
              <m:t>mono</m:t>
            </m:r>
          </m:sub>
        </m:sSub>
      </m:oMath>
      <w:r>
        <w:rPr>
          <w:rFonts w:ascii="Times New Roman" w:hAnsi="Times New Roman" w:eastAsia="宋体" w:cs="Times New Roman"/>
          <w:color w:val="000000"/>
          <w:sz w:val="24"/>
        </w:rPr>
        <w:t xml:space="preserve">：保证磨耗量随里程非减；</w:t>
      </w:r>
      <m:oMath>
        <m:sSub>
          <m:e>
            <m:r>
              <m:t>L</m:t>
            </m:r>
          </m:e>
          <m:sub>
            <m:r>
              <m:rPr>
                <m:nor/>
                <m:sty m:val="p"/>
              </m:rPr>
              <m:t>rate</m:t>
            </m:r>
          </m:sub>
        </m:sSub>
      </m:oMath>
      <w:r>
        <w:rPr>
          <w:rFonts w:ascii="Times New Roman" w:hAnsi="Times New Roman" w:eastAsia="宋体" w:cs="Times New Roman"/>
          <w:color w:val="000000"/>
          <w:sz w:val="24"/>
        </w:rPr>
        <w:t xml:space="preserve">：保证</w:t>
      </w:r>
      <w:r>
        <w:rPr>
          <w:rFonts w:ascii="Times New Roman" w:hAnsi="Times New Roman" w:eastAsia="宋体" w:cs="Times New Roman"/>
          <w:color w:val="000000"/>
          <w:sz w:val="24"/>
        </w:rPr>
        <w:t xml:space="preserve"> </w:t>
      </w:r>
      <m:oMath>
        <m:r>
          <m:t>0</m:t>
        </m:r>
        <m:r>
          <m:rPr>
            <m:sty m:val="p"/>
          </m:rPr>
          <m:t>≤</m:t>
        </m:r>
        <m:sSub>
          <m:e>
            <m:acc>
              <m:accPr>
                <m:chr m:val="̂"/>
              </m:accPr>
              <m:e>
                <m:r>
                  <m:t>r</m:t>
                </m:r>
              </m:e>
            </m:acc>
          </m:e>
          <m:sub>
            <m:r>
              <m:t>t</m:t>
            </m:r>
          </m:sub>
        </m:sSub>
        <m:r>
          <m:rPr>
            <m:sty m:val="p"/>
          </m:rPr>
          <m:t>≤</m:t>
        </m:r>
        <m:sSub>
          <m:e>
            <m:r>
              <m:t>r</m:t>
            </m:r>
          </m:e>
          <m:sub>
            <m:r>
              <m:rPr>
                <m:sty m:val="p"/>
              </m:rPr>
              <m:t>max</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4：预测区间构建】</w:t>
      </w:r>
    </w:p>
    <w:p>
      <w:pPr>
        <w:numPr>
          <w:ilvl w:val="0"/>
          <w:numId w:val="1006"/>
        </w:numPr>
        <w:spacing w:before="0" w:after="120" w:line="360" w:lineRule="auto"/>
        <w:ind w:firstLine="420"/>
      </w:pPr>
      <w:r>
        <w:rPr>
          <w:rFonts w:ascii="Times New Roman" w:hAnsi="Times New Roman" w:eastAsia="宋体" w:cs="Times New Roman"/>
          <w:color w:val="000000"/>
          <w:sz w:val="24"/>
        </w:rPr>
        <w:t xml:space="preserve">对 VI-BNN 权重进行</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次 Monte Carlo 采样</w:t>
      </w:r>
    </w:p>
    <w:p>
      <w:pPr>
        <w:numPr>
          <w:ilvl w:val="0"/>
          <w:numId w:val="1006"/>
        </w:numPr>
        <w:spacing w:before="0" w:after="120" w:line="360" w:lineRule="auto"/>
        <w:ind w:firstLine="420"/>
      </w:pPr>
      <w:r>
        <w:rPr>
          <w:rFonts w:ascii="Times New Roman" w:hAnsi="Times New Roman" w:eastAsia="宋体" w:cs="Times New Roman"/>
          <w:color w:val="000000"/>
          <w:sz w:val="24"/>
        </w:rPr>
        <w:t xml:space="preserve">计算预测均值</w:t>
      </w:r>
      <w:r>
        <w:rPr>
          <w:rFonts w:ascii="Times New Roman" w:hAnsi="Times New Roman" w:eastAsia="宋体" w:cs="Times New Roman"/>
          <w:color w:val="000000"/>
          <w:sz w:val="24"/>
        </w:rPr>
        <w:t xml:space="preserve"> </w:t>
      </w:r>
      <m:oMath>
        <m:r>
          <m:t>μ</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与模型不确定性</w:t>
      </w:r>
      <w:r>
        <w:rPr>
          <w:rFonts w:ascii="Times New Roman" w:hAnsi="Times New Roman" w:eastAsia="宋体" w:cs="Times New Roman"/>
          <w:color w:val="000000"/>
          <w:sz w:val="24"/>
        </w:rPr>
        <w:t xml:space="preserve"> </w:t>
      </w:r>
      <m:oMath>
        <m:sSubSup>
          <m:e>
            <m:r>
              <m:t>σ</m:t>
            </m:r>
          </m:e>
          <m:sub>
            <m:r>
              <m:rPr>
                <m:nor/>
                <m:sty m:val="p"/>
              </m:rPr>
              <m:t>MC</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利用验证集残差估计</w:t>
      </w:r>
      <w:r>
        <w:rPr>
          <w:rFonts w:ascii="Times New Roman" w:hAnsi="Times New Roman" w:eastAsia="宋体" w:cs="Times New Roman"/>
          <w:color w:val="000000"/>
          <w:sz w:val="24"/>
        </w:rPr>
        <w:t xml:space="preserve"> </w:t>
      </w:r>
      <m:oMath>
        <m:sSubSup>
          <m:e>
            <m:r>
              <m:t>σ</m:t>
            </m:r>
          </m:e>
          <m:sub>
            <m:r>
              <m:rPr>
                <m:nor/>
                <m:sty m:val="p"/>
              </m:rPr>
              <m:t>res</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合成总方差：</w:t>
      </w:r>
      <m:oMath>
        <m:sSubSup>
          <m:e>
            <m:r>
              <m:t>σ</m:t>
            </m:r>
          </m:e>
          <m:sub>
            <m:r>
              <m:rPr>
                <m:nor/>
                <m:sty m:val="p"/>
              </m:rPr>
              <m:t>total</m:t>
            </m:r>
          </m:sub>
          <m:sup>
            <m:r>
              <m:t>2</m:t>
            </m:r>
          </m:sup>
        </m:sSubSup>
        <m:r>
          <m:rPr>
            <m:sty m:val="p"/>
          </m:rPr>
          <m:t>=</m:t>
        </m:r>
        <m:sSubSup>
          <m:e>
            <m:r>
              <m:t>σ</m:t>
            </m:r>
          </m:e>
          <m:sub>
            <m:r>
              <m:rPr>
                <m:nor/>
                <m:sty m:val="p"/>
              </m:rPr>
              <m:t>MC</m:t>
            </m:r>
          </m:sub>
          <m:sup>
            <m:r>
              <m:t>2</m:t>
            </m:r>
          </m:sup>
        </m:sSubSup>
        <m:r>
          <m:rPr>
            <m:sty m:val="p"/>
          </m:rPr>
          <m:t>+</m:t>
        </m:r>
        <m:sSubSup>
          <m:e>
            <m:r>
              <m:t>σ</m:t>
            </m:r>
          </m:e>
          <m:sub>
            <m:r>
              <m:rPr>
                <m:nor/>
                <m:sty m:val="p"/>
              </m:rPr>
              <m:t>res</m:t>
            </m:r>
          </m:sub>
          <m:sup>
            <m:r>
              <m:t>2</m:t>
            </m:r>
          </m:sup>
        </m:sSubSup>
      </m:oMath>
    </w:p>
    <w:p>
      <w:pPr>
        <w:numPr>
          <w:ilvl w:val="0"/>
          <w:numId w:val="1006"/>
        </w:numPr>
        <w:spacing w:before="0" w:after="120" w:line="360" w:lineRule="auto"/>
        <w:ind w:firstLine="420"/>
      </w:pPr>
      <w:r>
        <w:rPr>
          <w:rFonts w:ascii="Times New Roman" w:hAnsi="Times New Roman" w:eastAsia="宋体" w:cs="Times New Roman"/>
          <w:color w:val="000000"/>
          <w:sz w:val="24"/>
        </w:rPr>
        <w:t xml:space="preserve">构建 95% 预测区间：</w:t>
      </w:r>
      <m:oMath>
        <m:r>
          <m:t>μ</m:t>
        </m:r>
        <m:r>
          <m:rPr>
            <m:sty m:val="p"/>
          </m:rPr>
          <m:t>±</m:t>
        </m:r>
        <m:sSub>
          <m:e>
            <m:r>
              <m:t>z</m:t>
            </m:r>
          </m:e>
          <m:sub>
            <m:r>
              <m:t>α</m:t>
            </m:r>
            <m:r>
              <m:rPr>
                <m:sty m:val="p"/>
              </m:rPr>
              <m:t>/</m:t>
            </m:r>
            <m:r>
              <m:t>2</m:t>
            </m:r>
          </m:sub>
        </m:sSub>
        <m:sSub>
          <m:e>
            <m:r>
              <m:t>σ</m:t>
            </m:r>
          </m:e>
          <m:sub>
            <m:r>
              <m:rPr>
                <m:nor/>
                <m:sty m:val="p"/>
              </m:rPr>
              <m:t>total</m:t>
            </m:r>
          </m:sub>
        </m:sSub>
      </m:oMath>
    </w:p>
    <w:p>
      <w:pPr>
        <w:pStyle w:val="FirstParagraph"/>
        <w:spacing w:before="0" w:after="120" w:line="360" w:lineRule="auto"/>
        <w:ind w:firstLine="420"/>
      </w:pPr>
      <w:r>
        <w:rPr>
          <w:bCs/>
          <w:rFonts w:ascii="Times New Roman" w:hAnsi="Times New Roman" w:eastAsia="宋体" w:cs="Times New Roman"/>
          <w:b/>
          <w:color w:val="000000"/>
          <w:sz w:val="24"/>
        </w:rPr>
        <w:t xml:space="preserve">【阶段 5：实验验证与消融分析】</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数据划分：前 60% 训练 / 中 10% 验证 / 后 30% 测试（时间外推）</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对比模型：LSTM、GRU、BiLSTM、标准 MSE-VI-BNN、物理约束 MSE-VI-BNN</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评价指标：MAE、RMSE、MSE、</w:t>
      </w:r>
      <m:oMath>
        <m:sSup>
          <m:e>
            <m:r>
              <m:t>R</m:t>
            </m:r>
          </m:e>
          <m:sup>
            <m:r>
              <m:t>2</m:t>
            </m:r>
          </m:sup>
        </m:sSup>
      </m:oMath>
      <w:r>
        <w:rPr>
          <w:rFonts w:ascii="Times New Roman" w:hAnsi="Times New Roman" w:eastAsia="宋体" w:cs="Times New Roman"/>
          <w:color w:val="000000"/>
          <w:sz w:val="24"/>
        </w:rPr>
        <w:t xml:space="preserve">、PICP、PINAW、平均区间宽度</w:t>
      </w:r>
    </w:p>
    <w:p>
      <w:pPr>
        <w:numPr>
          <w:ilvl w:val="0"/>
          <w:numId w:val="1007"/>
        </w:numPr>
        <w:spacing w:before="0" w:after="120" w:line="360" w:lineRule="auto"/>
        <w:ind w:firstLine="420"/>
      </w:pPr>
      <w:r>
        <w:rPr>
          <w:rFonts w:ascii="Times New Roman" w:hAnsi="Times New Roman" w:eastAsia="宋体" w:cs="Times New Roman"/>
          <w:color w:val="000000"/>
          <w:sz w:val="24"/>
        </w:rPr>
        <w:t xml:space="preserve">消融实验：去掉单调性约束 / 去掉磨耗速率约束 / 去掉群体退化基准</w:t>
      </w:r>
    </w:p>
    <w:p>
      <w:pPr>
        <w:pStyle w:val="FirstParagraph"/>
        <w:spacing w:before="0" w:after="120" w:line="360" w:lineRule="auto"/>
        <w:ind w:firstLine="420"/>
      </w:pPr>
      <w:r>
        <w:rPr>
          <w:bCs/>
          <w:rFonts w:ascii="Times New Roman" w:hAnsi="Times New Roman" w:eastAsia="宋体" w:cs="Times New Roman"/>
          <w:b/>
          <w:color w:val="000000"/>
          <w:sz w:val="24"/>
        </w:rPr>
        <w:t xml:space="preserve">【最终输出成果】</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单个车轮轮径磨耗趋势点预测结果</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符合物理规律的磨耗演变曲线</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带 95% 置信水平的磨耗趋势预测区间</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与典型深度学习模型及标准 VI-BNN 的对比结论</w:t>
      </w:r>
    </w:p>
    <w:p>
      <w:pPr>
        <w:numPr>
          <w:ilvl w:val="0"/>
          <w:numId w:val="1008"/>
        </w:numPr>
        <w:spacing w:before="0" w:after="120" w:line="360" w:lineRule="auto"/>
        <w:ind w:firstLine="420"/>
      </w:pPr>
      <w:r>
        <w:rPr>
          <w:rFonts w:ascii="Times New Roman" w:hAnsi="Times New Roman" w:eastAsia="宋体" w:cs="Times New Roman"/>
          <w:color w:val="000000"/>
          <w:sz w:val="24"/>
        </w:rPr>
        <w:t xml:space="preserve">面向地铁车辆状态监测的轮径磨耗趋势预测方法</w:t>
      </w:r>
    </w:p>
    <w:bookmarkEnd w:id="34"/>
    <w:bookmarkStart w:id="35" w:name="三技术路线简图一页式"/>
    <w:p>
      <w:pPr>
        <w:pStyle w:val="Heading3"/>
        <w:spacing w:before="120" w:after="60" w:line="360" w:lineRule="auto"/>
        <w:ind w:firstLine="0"/>
      </w:pPr>
      <w:r>
        <w:rPr>
          <w:rFonts w:ascii="Times New Roman" w:hAnsi="Times New Roman" w:eastAsia="楷体" w:cs="Times New Roman"/>
          <w:b/>
          <w:color w:val="000000"/>
          <w:sz w:val="24"/>
        </w:rPr>
        <w:t xml:space="preserve">（三）技术路线简图（一页式）</w:t>
      </w:r>
    </w:p>
    <w:p>
      <w:pPr>
        <w:pStyle w:val="FirstParagraph"/>
        <w:spacing w:before="60" w:after="60" w:line="300" w:lineRule="auto"/>
        <w:ind w:firstLine="0"/>
      </w:pPr>
      <w:r>
        <w:rPr>
          <w:rFonts w:ascii="Times New Roman" w:hAnsi="Times New Roman" w:eastAsia="宋体" w:cs="Times New Roman"/>
          <w:color w:val="000000"/>
          <w:sz w:val="22"/>
        </w:rPr>
        <w:t xml:space="preserve">Simpack 仿真 ──┐</w:t>
      </w:r>
    </w:p>
    <w:p>
      <w:pPr>
        <w:pStyle w:val="BodyText"/>
        <w:spacing w:before="0" w:after="120" w:line="360" w:lineRule="auto"/>
        <w:ind w:firstLine="420"/>
      </w:pPr>
      <w:r>
        <w:rPr>
          <w:rFonts w:ascii="Times New Roman" w:hAnsi="Times New Roman" w:eastAsia="宋体" w:cs="Times New Roman"/>
          <w:color w:val="000000"/>
          <w:sz w:val="24"/>
        </w:rPr>
        <w:t xml:space="preserve">　　　　　　　　├──→ 磨耗速率约束范围 + 群体退化基准</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p>
    <w:p>
      <w:pPr>
        <w:pStyle w:val="BodyText"/>
        <w:spacing w:before="60" w:after="60" w:line="300" w:lineRule="auto"/>
        <w:ind w:firstLine="0"/>
      </w:pPr>
      <w:r>
        <w:rPr>
          <w:rFonts w:ascii="Times New Roman" w:hAnsi="Times New Roman" w:eastAsia="宋体" w:cs="Times New Roman"/>
          <w:color w:val="000000"/>
          <w:sz w:val="22"/>
        </w:rPr>
        <w:t xml:space="preserve">实测数据处理 ──┘　　　　　　│</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基本建模单元：单车轮单镟修周期磨耗序列</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物理约束 MSE-VI-BNN（主干确定性 + 末层 BayesLinear）</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MC 采样 + 验证集残差校准 → 95% 预测区间</w:t>
      </w:r>
    </w:p>
    <w:p>
      <w:pPr>
        <w:pStyle w:val="BodyText"/>
        <w:spacing w:before="0" w:after="120" w:line="360" w:lineRule="auto"/>
        <w:ind w:firstLine="420"/>
      </w:pPr>
      <w:r>
        <w:rPr>
          <w:rFonts w:ascii="Times New Roman" w:hAnsi="Times New Roman" w:eastAsia="宋体" w:cs="Times New Roman"/>
          <w:color w:val="000000"/>
          <w:sz w:val="24"/>
        </w:rPr>
        <w:t xml:space="preserve">　　　　　　　　　　　　　　↓</w:t>
      </w:r>
    </w:p>
    <w:p>
      <w:pPr>
        <w:pStyle w:val="BodyText"/>
        <w:spacing w:before="0" w:after="120" w:line="360" w:lineRule="auto"/>
        <w:ind w:firstLine="420"/>
      </w:pPr>
      <w:r>
        <w:rPr>
          <w:rFonts w:ascii="Times New Roman" w:hAnsi="Times New Roman" w:eastAsia="宋体" w:cs="Times New Roman"/>
          <w:color w:val="000000"/>
          <w:sz w:val="24"/>
        </w:rPr>
        <w:t xml:space="preserve">　　　　对比实验 / 消融实验 / 个体案例分析</w:t>
      </w:r>
    </w:p>
    <w:bookmarkEnd w:id="35"/>
    <w:bookmarkStart w:id="36" w:name="四七步实施流程正文叙述版"/>
    <w:p>
      <w:pPr>
        <w:pStyle w:val="Heading3"/>
        <w:spacing w:before="120" w:after="60" w:line="360" w:lineRule="auto"/>
        <w:ind w:firstLine="0"/>
      </w:pPr>
      <w:r>
        <w:rPr>
          <w:rFonts w:ascii="Times New Roman" w:hAnsi="Times New Roman" w:eastAsia="楷体" w:cs="Times New Roman"/>
          <w:b/>
          <w:color w:val="000000"/>
          <w:sz w:val="24"/>
        </w:rPr>
        <w:t xml:space="preserve">（四）七步实施流程（正文叙述版）</w:t>
      </w:r>
    </w:p>
    <w:p>
      <w:pPr>
        <w:pStyle w:val="FirstParagraph"/>
        <w:spacing w:before="0" w:after="120" w:line="360" w:lineRule="auto"/>
        <w:ind w:firstLine="420"/>
      </w:pPr>
      <w:r>
        <w:rPr>
          <w:bCs/>
          <w:rFonts w:ascii="Times New Roman" w:hAnsi="Times New Roman" w:eastAsia="宋体" w:cs="Times New Roman"/>
          <w:b/>
          <w:color w:val="000000"/>
          <w:sz w:val="24"/>
        </w:rPr>
        <w:t xml:space="preserve">第一步</w:t>
      </w:r>
      <w:r>
        <w:rPr>
          <w:rFonts w:ascii="Times New Roman" w:hAnsi="Times New Roman" w:eastAsia="宋体" w:cs="Times New Roman"/>
          <w:color w:val="000000"/>
          <w:sz w:val="24"/>
        </w:rPr>
        <w:t xml:space="preserve">，开展地铁车轮磨耗机理分析与 Simpack 仿真。基于轮轨接触理论和 Archard 磨耗模型，建立地铁车辆动力学仿真模型，设置牵引和制动等典型运行状态，提取不同工况下的轮轨力、蠕滑相关量和踏面磨耗深度，形成仿真磨耗速率集合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sim</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bCs/>
          <w:rFonts w:ascii="Times New Roman" w:hAnsi="Times New Roman" w:eastAsia="宋体" w:cs="Times New Roman"/>
          <w:b/>
          <w:color w:val="000000"/>
          <w:sz w:val="24"/>
        </w:rPr>
        <w:t xml:space="preserve">第二步</w:t>
      </w:r>
      <w:r>
        <w:rPr>
          <w:rFonts w:ascii="Times New Roman" w:hAnsi="Times New Roman" w:eastAsia="宋体" w:cs="Times New Roman"/>
          <w:color w:val="000000"/>
          <w:sz w:val="24"/>
        </w:rPr>
        <w:t xml:space="preserve">，进行连续轮径实测数据处理。基于 400 天、960 个车轮的连续轮径检测数据，按照镟修周期对单个车轮轮径序列进行切分，并进行局部里程归零，计算轮径磨耗量</w:t>
      </w:r>
      <w:r>
        <w:rPr>
          <w:rFonts w:ascii="Times New Roman" w:hAnsi="Times New Roman" w:eastAsia="宋体" w:cs="Times New Roman"/>
          <w:color w:val="000000"/>
          <w:sz w:val="24"/>
        </w:rPr>
        <w:t xml:space="preserve"> </w:t>
      </w:r>
      <m:oMath>
        <m:r>
          <m:t>W</m:t>
        </m:r>
        <m:r>
          <m:rPr>
            <m:sty m:val="p"/>
          </m:rPr>
          <m:t>=</m:t>
        </m:r>
        <m:sSub>
          <m:e>
            <m:r>
              <m:t>D</m:t>
            </m:r>
          </m:e>
          <m:sub>
            <m:r>
              <m:t>0</m:t>
            </m:r>
          </m:sub>
        </m:sSub>
        <m:r>
          <m:rPr>
            <m:sty m:val="p"/>
          </m:rPr>
          <m:t>−</m:t>
        </m:r>
        <m:r>
          <m:t>D</m:t>
        </m:r>
      </m:oMath>
      <w:r>
        <w:rPr>
          <w:rFonts w:ascii="Times New Roman" w:hAnsi="Times New Roman" w:eastAsia="宋体" w:cs="Times New Roman"/>
          <w:color w:val="000000"/>
          <w:sz w:val="24"/>
        </w:rPr>
        <w:t xml:space="preserve">，采用因果滑动中位数方法降低检测噪声影响。</w:t>
      </w:r>
    </w:p>
    <w:p>
      <w:pPr>
        <w:pStyle w:val="BodyText"/>
        <w:spacing w:before="0" w:after="120" w:line="360" w:lineRule="auto"/>
        <w:ind w:firstLine="420"/>
      </w:pPr>
      <w:r>
        <w:rPr>
          <w:bCs/>
          <w:rFonts w:ascii="Times New Roman" w:hAnsi="Times New Roman" w:eastAsia="宋体" w:cs="Times New Roman"/>
          <w:b/>
          <w:color w:val="000000"/>
          <w:sz w:val="24"/>
        </w:rPr>
        <w:t xml:space="preserve">第三步</w:t>
      </w:r>
      <w:r>
        <w:rPr>
          <w:rFonts w:ascii="Times New Roman" w:hAnsi="Times New Roman" w:eastAsia="宋体" w:cs="Times New Roman"/>
          <w:color w:val="000000"/>
          <w:sz w:val="24"/>
        </w:rPr>
        <w:t xml:space="preserve">，构建群体平均磨耗曲线和实测磨耗速率集合。采用里程分箱方法对所有车轮磨耗序列进行对齐，统计群体平均磨耗曲线，并采用滑动窗口线性回归提取实测磨耗速率集合</w:t>
      </w:r>
      <w:r>
        <w:rPr>
          <w:rFonts w:ascii="Times New Roman" w:hAnsi="Times New Roman" w:eastAsia="宋体" w:cs="Times New Roman"/>
          <w:color w:val="000000"/>
          <w:sz w:val="24"/>
        </w:rPr>
        <w:t xml:space="preserve"> </w:t>
      </w:r>
      <m:oMath>
        <m:sSub>
          <m:e>
            <m:r>
              <m:rPr>
                <m:sty m:val="p"/>
                <m:scr m:val="script"/>
              </m:rPr>
              <m:t>R</m:t>
            </m:r>
          </m:e>
          <m:sub>
            <m:r>
              <m:rPr>
                <m:nor/>
                <m:sty m:val="p"/>
              </m:rPr>
              <m:t>real</m:t>
            </m:r>
          </m:sub>
        </m:sSub>
      </m:oMath>
      <w:r>
        <w:rPr>
          <w:rFonts w:ascii="Times New Roman" w:hAnsi="Times New Roman" w:eastAsia="宋体" w:cs="Times New Roman"/>
          <w:color w:val="000000"/>
          <w:sz w:val="24"/>
        </w:rPr>
        <w:t xml:space="preserve">，确定磨耗速率上界</w:t>
      </w:r>
      <w:r>
        <w:rPr>
          <w:rFonts w:ascii="Times New Roman" w:hAnsi="Times New Roman" w:eastAsia="宋体" w:cs="Times New Roman"/>
          <w:color w:val="000000"/>
          <w:sz w:val="24"/>
        </w:rPr>
        <w:t xml:space="preserve"> </w:t>
      </w:r>
      <m:oMath>
        <m:sSub>
          <m:e>
            <m:r>
              <m:t>r</m:t>
            </m:r>
          </m:e>
          <m:sub>
            <m:r>
              <m:rPr>
                <m:sty m:val="p"/>
              </m:rPr>
              <m:t>max</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bCs/>
          <w:rFonts w:ascii="Times New Roman" w:hAnsi="Times New Roman" w:eastAsia="宋体" w:cs="Times New Roman"/>
          <w:b/>
          <w:color w:val="000000"/>
          <w:sz w:val="24"/>
        </w:rPr>
        <w:t xml:space="preserve">第四步</w:t>
      </w:r>
      <w:r>
        <w:rPr>
          <w:rFonts w:ascii="Times New Roman" w:hAnsi="Times New Roman" w:eastAsia="宋体" w:cs="Times New Roman"/>
          <w:color w:val="000000"/>
          <w:sz w:val="24"/>
        </w:rPr>
        <w:t xml:space="preserve">，建立群体退化基准与个体残差建模框架。通过 AIC/BIC 信息准则选取最优群体退化基准函数</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，将单个车轮轮径磨耗预测表示为</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w:t>
      </w:r>
    </w:p>
    <w:p>
      <w:pPr>
        <w:pStyle w:val="BodyText"/>
        <w:spacing w:before="0" w:after="120" w:line="360" w:lineRule="auto"/>
        <w:ind w:firstLine="420"/>
      </w:pPr>
      <w:r>
        <w:rPr>
          <w:bCs/>
          <w:rFonts w:ascii="Times New Roman" w:hAnsi="Times New Roman" w:eastAsia="宋体" w:cs="Times New Roman"/>
          <w:b/>
          <w:color w:val="000000"/>
          <w:sz w:val="24"/>
        </w:rPr>
        <w:t xml:space="preserve">第五步</w:t>
      </w:r>
      <w:r>
        <w:rPr>
          <w:rFonts w:ascii="Times New Roman" w:hAnsi="Times New Roman" w:eastAsia="宋体" w:cs="Times New Roman"/>
          <w:color w:val="000000"/>
          <w:sz w:val="24"/>
        </w:rPr>
        <w:t xml:space="preserve">，构建物理约束 MSE-VI-BNN 预测模型。采用 MSE 作为数据拟合项，引入 KL 散度项及磨耗单调性约束和磨耗速率约束，采用”确定性主干 + 末层 BayesLinear”结构。</w:t>
      </w:r>
    </w:p>
    <w:p>
      <w:pPr>
        <w:pStyle w:val="BodyText"/>
        <w:spacing w:before="0" w:after="120" w:line="360" w:lineRule="auto"/>
        <w:ind w:firstLine="420"/>
      </w:pPr>
      <w:r>
        <w:rPr>
          <w:bCs/>
          <w:rFonts w:ascii="Times New Roman" w:hAnsi="Times New Roman" w:eastAsia="宋体" w:cs="Times New Roman"/>
          <w:b/>
          <w:color w:val="000000"/>
          <w:sz w:val="24"/>
        </w:rPr>
        <w:t xml:space="preserve">第六步</w:t>
      </w:r>
      <w:r>
        <w:rPr>
          <w:rFonts w:ascii="Times New Roman" w:hAnsi="Times New Roman" w:eastAsia="宋体" w:cs="Times New Roman"/>
          <w:color w:val="000000"/>
          <w:sz w:val="24"/>
        </w:rPr>
        <w:t xml:space="preserve">，构建预测区间。采用 Monte Carlo 权重采样和验证集残差校准相结合的方法，得到轮径磨耗趋势预测区间。</w:t>
      </w:r>
    </w:p>
    <w:p>
      <w:pPr>
        <w:pStyle w:val="BodyText"/>
        <w:spacing w:before="0" w:after="120" w:line="360" w:lineRule="auto"/>
        <w:ind w:firstLine="420"/>
      </w:pPr>
      <w:r>
        <w:rPr>
          <w:bCs/>
          <w:rFonts w:ascii="Times New Roman" w:hAnsi="Times New Roman" w:eastAsia="宋体" w:cs="Times New Roman"/>
          <w:b/>
          <w:color w:val="000000"/>
          <w:sz w:val="24"/>
        </w:rPr>
        <w:t xml:space="preserve">第七步</w:t>
      </w:r>
      <w:r>
        <w:rPr>
          <w:rFonts w:ascii="Times New Roman" w:hAnsi="Times New Roman" w:eastAsia="宋体" w:cs="Times New Roman"/>
          <w:color w:val="000000"/>
          <w:sz w:val="24"/>
        </w:rPr>
        <w:t xml:space="preserve">，开展模型验证与消融分析。按 60%/10%/30% 划分数据集，与 LSTM、GRU、BiLSTM 和标准 VI-BNN 对比，并通过消融实验验证各模块有效性。</w:t>
      </w:r>
    </w:p>
    <w:bookmarkEnd w:id="36"/>
    <w:bookmarkEnd w:id="37"/>
    <w:bookmarkEnd w:id="38"/>
    <w:sectPr>
      <w:pgSz w:h="16838" w:w="11906"/>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地铁车轮轮径磨耗趋势预测研究</dc:title>
  <dc:creator/>
  <dc:language>zh-CN</dc:language>
  <cp:keywords/>
  <dcterms:created xsi:type="dcterms:W3CDTF">2026-06-11T12:01:33Z</dcterms:created>
  <dcterms:modified xsi:type="dcterms:W3CDTF">2026-06-11T12:01:33Z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研究内容·创新点·章节目录·技术路线</vt:lpwstr>
  </property>
</Properties>
</file>