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Ownership</w:t>
      </w:r>
    </w:p>
    <w:p>
      <w:pPr>
        <w:pStyle w:val="Heading1"/>
      </w:pPr>
      <w:r>
        <w:t>QA Ownership</w:t>
      </w:r>
    </w:p>
    <w:p/>
    <w:p>
      <w:r>
        <w:t>Quality assurance is the responsibility of every team member, not just the testing department. When ownership of QA is shared across the organization, product quality improves and issues are caught earlier in the development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