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Ownership</w:t>
      </w:r>
    </w:p>
    <w:p>
      <w:pPr>
        <w:pStyle w:val="Heading1"/>
      </w:pPr>
      <w:r>
        <w:t>QA Ownership</w:t>
      </w:r>
    </w:p>
    <w:p/>
    <w:p>
      <w:r>
        <w:t>Quality assurance ownership ensures that every team member takes responsibility for the quality of the product they help create. When ownership is clearly defined and embraced, defects are caught earlier, processes improve continuously, and the end user receives a consistently superior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