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UHC</w:t>
      </w:r>
      <w:r>
        <w:t xml:space="preserve"> </w:t>
      </w:r>
      <w:r>
        <w:t xml:space="preserve">Medicare</w:t>
      </w:r>
      <w:r>
        <w:t xml:space="preserve"> </w:t>
      </w:r>
      <w:r>
        <w:t xml:space="preserve">Advantage</w:t>
      </w:r>
      <w:r>
        <w:t xml:space="preserve"> </w:t>
      </w:r>
      <w:r>
        <w:t xml:space="preserve">Plans</w:t>
      </w:r>
      <w:r>
        <w:t xml:space="preserve"> </w:t>
      </w:r>
      <w:r>
        <w:t xml:space="preserve">&amp;</w:t>
      </w:r>
      <w:r>
        <w:t xml:space="preserve"> </w:t>
      </w:r>
      <w:r>
        <w:t xml:space="preserve">Benefits</w:t>
      </w:r>
      <w:r>
        <w:t xml:space="preserve"> </w:t>
      </w:r>
      <w:r>
        <w:t xml:space="preserve">Reference</w:t>
      </w:r>
      <w:r>
        <w:t xml:space="preserve"> </w:t>
      </w:r>
      <w:r>
        <w:t xml:space="preserve">2024–2027</w:t>
      </w:r>
    </w:p>
    <w:p>
      <w:pPr>
        <w:pStyle w:val="Subtitle"/>
      </w:pPr>
      <w:r>
        <w:t xml:space="preserve">Domain</w:t>
      </w:r>
      <w:r>
        <w:t xml:space="preserve"> </w:t>
      </w:r>
      <w:r>
        <w:t xml:space="preserve">reference</w:t>
      </w:r>
      <w:r>
        <w:t xml:space="preserve"> </w:t>
      </w:r>
      <w:r>
        <w:t xml:space="preserve">for</w:t>
      </w:r>
      <w:r>
        <w:t xml:space="preserve"> </w:t>
      </w:r>
      <w:r>
        <w:t xml:space="preserve">plan-</w:t>
      </w:r>
      <w:r>
        <w:t xml:space="preserve"> </w:t>
      </w:r>
      <w:r>
        <w:t xml:space="preserve">and</w:t>
      </w:r>
      <w:r>
        <w:t xml:space="preserve"> </w:t>
      </w:r>
      <w:r>
        <w:t xml:space="preserve">benefit-based</w:t>
      </w:r>
      <w:r>
        <w:t xml:space="preserve"> </w:t>
      </w:r>
      <w:r>
        <w:t xml:space="preserve">feature</w:t>
      </w:r>
      <w:r>
        <w:t xml:space="preserve"> </w:t>
      </w:r>
      <w:r>
        <w:t xml:space="preserve">engineering</w:t>
      </w:r>
      <w:r>
        <w:t xml:space="preserve"> </w:t>
      </w:r>
      <w:r>
        <w:t xml:space="preserve">in</w:t>
      </w:r>
      <w:r>
        <w:t xml:space="preserve"> </w:t>
      </w:r>
      <w:r>
        <w:t xml:space="preserve">the</w:t>
      </w:r>
      <w:r>
        <w:t xml:space="preserve"> </w:t>
      </w:r>
      <w:r>
        <w:t xml:space="preserve">member</w:t>
      </w:r>
      <w:r>
        <w:t xml:space="preserve"> </w:t>
      </w:r>
      <w:r>
        <w:t xml:space="preserve">risk</w:t>
      </w:r>
      <w:r>
        <w:t xml:space="preserve"> </w:t>
      </w:r>
      <w:r>
        <w:t xml:space="preserve">model</w:t>
      </w:r>
    </w:p>
    <w:p>
      <w:pPr>
        <w:pStyle w:val="Author"/>
      </w:pPr>
      <w:r>
        <w:t xml:space="preserve">Prepared</w:t>
      </w:r>
      <w:r>
        <w:t xml:space="preserve"> </w:t>
      </w:r>
      <w:r>
        <w:t xml:space="preserve">for</w:t>
      </w:r>
      <w:r>
        <w:t xml:space="preserve"> </w:t>
      </w:r>
      <w:r>
        <w:t xml:space="preserve">the</w:t>
      </w:r>
      <w:r>
        <w:t xml:space="preserve"> </w:t>
      </w:r>
      <w:r>
        <w:t xml:space="preserve">Databricks</w:t>
      </w:r>
      <w:r>
        <w:t xml:space="preserve"> </w:t>
      </w:r>
      <w:r>
        <w:t xml:space="preserve">feature-engineering</w:t>
      </w:r>
      <w:r>
        <w:t xml:space="preserve"> </w:t>
      </w:r>
      <w:r>
        <w:t xml:space="preserve">agent</w:t>
      </w:r>
    </w:p>
    <w:p>
      <w:pPr>
        <w:pStyle w:val="Date"/>
      </w:pPr>
      <w:r>
        <w:t xml:space="preserve">As</w:t>
      </w:r>
      <w:r>
        <w:t xml:space="preserve"> </w:t>
      </w:r>
      <w:r>
        <w:t xml:space="preserve">of</w:t>
      </w:r>
      <w:r>
        <w:t xml:space="preserve"> </w:t>
      </w:r>
      <w:r>
        <w:t xml:space="preserve">2026-10-09</w:t>
      </w:r>
    </w:p>
    <w:bookmarkStart w:id="20" w:name="purpose-what-this-doc-is-for"/>
    <w:p>
      <w:pPr>
        <w:pStyle w:val="Heading1"/>
      </w:pPr>
      <w:r>
        <w:t xml:space="preserve">Purpose: what this doc is for</w:t>
      </w:r>
    </w:p>
    <w:p>
      <w:pPr>
        <w:pStyle w:val="FirstParagraph"/>
      </w:pPr>
      <w:r>
        <w:t xml:space="preserve">This doc gives a Databricks agent enough domain knowledge of UnitedHealthcare (UHC) Medicare Advantage plans and benefits, plan years 2024 through 2027, to engineer plan- and benefit-based features for a member risk model. The model predicts next-12-month cost and a relative risk score for members, with special emphasis on new members who have no UHC claims history and only enrollment, plan and CMS demographic data on day 0.</w:t>
      </w:r>
    </w:p>
    <w:p>
      <w:pPr>
        <w:pStyle w:val="BodyText"/>
      </w:pPr>
      <w:r>
        <w:t xml:space="preserve">The agent should use this doc to:</w:t>
      </w:r>
    </w:p>
    <w:p>
      <w:pPr>
        <w:numPr>
          <w:ilvl w:val="0"/>
          <w:numId w:val="1001"/>
        </w:numPr>
        <w:pStyle w:val="Compact"/>
      </w:pPr>
      <w:r>
        <w:t xml:space="preserve">Recognise the plan families, SNP types and benefit dimensions that appear in UHC enrollment and plan tables, and know what each one implies about member risk.</w:t>
      </w:r>
    </w:p>
    <w:p>
      <w:pPr>
        <w:numPr>
          <w:ilvl w:val="0"/>
          <w:numId w:val="1001"/>
        </w:numPr>
        <w:pStyle w:val="Compact"/>
      </w:pPr>
      <w:r>
        <w:t xml:space="preserve">Join member records to plan attributes using contract (H-number), PBP and segment keys, and pull public CMS landscape and benefit files to enrich plans that internal tables describe thinly.</w:t>
      </w:r>
    </w:p>
    <w:p>
      <w:pPr>
        <w:numPr>
          <w:ilvl w:val="0"/>
          <w:numId w:val="1001"/>
        </w:numPr>
        <w:pStyle w:val="Compact"/>
      </w:pPr>
      <w:r>
        <w:t xml:space="preserve">Build the feature set in the Feature engineering spec section, encoding each attribute as described and respecting the availability horizon (0+12, 2+10, 5+7, 8+4) and the leakage rules.</w:t>
      </w:r>
    </w:p>
    <w:p>
      <w:pPr>
        <w:numPr>
          <w:ilvl w:val="0"/>
          <w:numId w:val="1001"/>
        </w:numPr>
        <w:pStyle w:val="Compact"/>
      </w:pPr>
      <w:r>
        <w:t xml:space="preserve">Handle year drift: UHC’s product mix and CMS rules changed materially every year from 2024 to 2027, so features must be normalised within plan year and county rather than taken as absolute.</w:t>
      </w:r>
    </w:p>
    <w:p>
      <w:pPr>
        <w:pStyle w:val="FirstParagraph"/>
      </w:pPr>
      <w:r>
        <w:t xml:space="preserve">Scope: individual and group Medicare Advantage (MA and MA-PD) plans sold by UHC and its affiliates, including Special Needs Plans. AARP Medicare Supplement (Medigap) and standalone Part D plans are described only where they matter as prior-coverage signals. Member-level claims, MMR and MOR data are described elsewhere; this doc covers the plan side only.</w:t>
      </w:r>
    </w:p>
    <w:p>
      <w:pPr>
        <w:pStyle w:val="BodyText"/>
      </w:pPr>
      <w:r>
        <w:t xml:space="preserve">Unless marked otherwise, facts in this doc were looked up on 2026-10-09 and cited in the Sources section. Figures labelled approximate come from memory and should be verified against the cited CMS files before use in production features.</w:t>
      </w:r>
    </w:p>
    <w:bookmarkEnd w:id="20"/>
    <w:bookmarkStart w:id="21" w:name="Xe96ba18736afbe7029f40b6299ab19188737417"/>
    <w:p>
      <w:pPr>
        <w:pStyle w:val="Heading1"/>
      </w:pPr>
      <w:r>
        <w:t xml:space="preserve">Medicare basics and how Medicare Advantage is paid</w:t>
      </w:r>
    </w:p>
    <w:p>
      <w:pPr>
        <w:pStyle w:val="FirstParagraph"/>
      </w:pPr>
      <w:r>
        <w:t xml:space="preserve">Medicare Advantage (MA) insurers are paid a monthly capitation per member that is multiplied by the member’s risk adjustment factor (RAF), so every plan and benefit decision UHC makes is shaped by expected member risk, and plan choice in turn reveals member risk.</w:t>
      </w:r>
    </w:p>
    <w:p>
      <w:pPr>
        <w:pStyle w:val="BodyText"/>
      </w:pPr>
      <w:r>
        <w:rPr>
          <w:bCs/>
          <w:b/>
        </w:rPr>
        <w:t xml:space="preserve">The parts.</w:t>
      </w:r>
      <w:r>
        <w:t xml:space="preserve"> </w:t>
      </w:r>
      <w:r>
        <w:t xml:space="preserve">Part A covers hospital, SNF, hospice and home health. Part B covers physician, outpatient, DME and Part B drugs. Part D covers retail prescription drugs. Part C is Medicare Advantage: a private plan that replaces A and B, almost always bundles D (an MA-PD), and adds supplemental benefits (dental, vision, hearing, OTC) and an out-of-pocket maximum that Original Medicare lacks.</w:t>
      </w:r>
    </w:p>
    <w:p>
      <w:pPr>
        <w:pStyle w:val="BodyText"/>
      </w:pPr>
      <w:r>
        <w:rPr>
          <w:bCs/>
          <w:b/>
        </w:rPr>
        <w:t xml:space="preserve">Two paths at 65.</w:t>
      </w:r>
      <w:r>
        <w:t xml:space="preserve"> </w:t>
      </w:r>
      <w:r>
        <w:t xml:space="preserve">A beneficiary either stays in Original Medicare and buys a Medigap supplement plus a standalone Part D plan (PDP), or enrolls in an MA plan. UHC sells both paths under the AARP brand. Only the MA path generates UHC claims data; a Medigap member’s claims flow through Medicare, and UHC sees only the crossover remittances.</w:t>
      </w:r>
    </w:p>
    <w:p>
      <w:pPr>
        <w:pStyle w:val="BodyText"/>
      </w:pPr>
      <w:r>
        <w:rPr>
          <w:bCs/>
          <w:b/>
        </w:rPr>
        <w:t xml:space="preserve">How CMS pays an MA plan.</w:t>
      </w:r>
      <w:r>
        <w:t xml:space="preserve"> </w:t>
      </w:r>
      <w:r>
        <w:t xml:space="preserve">Each county has a benchmark (the county rate book). The plan bids against it; the difference becomes rebate dollars that fund supplemental benefits and premium reductions. The monthly payment per member is the plan’s bid-based rate times the member’s RAF. The 2026 payment update was +5.06%, the 2027 update +2.48% (4.98% with the 2.50% coding trend), with an average benchmark of $1,335.05 PMPM in 2027 (CMS 2027 rate announcement). Star ratings add a 5% quality bonus to the benchmark at 4+ stars and raise the rebate share.</w:t>
      </w:r>
    </w:p>
    <w:p>
      <w:pPr>
        <w:pStyle w:val="BodyText"/>
      </w:pPr>
      <w:r>
        <w:rPr>
          <w:bCs/>
          <w:b/>
        </w:rPr>
        <w:t xml:space="preserve">How the RAF is built.</w:t>
      </w:r>
      <w:r>
        <w:t xml:space="preserve"> </w:t>
      </w:r>
      <w:r>
        <w:t xml:space="preserve">The CMS-HCC model scores a member from demographics (age, sex, Medicaid dual status, originally disabled, institutional) plus hierarchical condition categories (HCCs) from the prior year’s diagnoses. The V28 model, phased in 33% in 2024, 67% in 2025 and 100% from 2026, has 115 payment HCCs out of 266, dropped about 2,000 ICD-10 codes from payment, and constrained the three diabetes HCCs and the three CHF HCCs to a single coefficient each (CMS report to Congress, Dec 2024). CMS kept the 2024 CMS-HCC model unchanged for 2027 rather than recalibrating it (CMS 2027 rate announcement).</w:t>
      </w:r>
    </w:p>
    <w:p>
      <w:pPr>
        <w:pStyle w:val="BodyText"/>
      </w:pPr>
      <w:r>
        <w:rPr>
          <w:bCs/>
          <w:b/>
        </w:rPr>
        <w:t xml:space="preserve">The new-enrollee score.</w:t>
      </w:r>
      <w:r>
        <w:t xml:space="preserve"> </w:t>
      </w:r>
      <w:r>
        <w:t xml:space="preserve">A member with fewer than 12 months of Part B in the prior year has no diagnosis history CMS can use, so CMS assigns a demographics-only new-enrollee score from age-sex cells crossed with Medicaid and originally-disabled status (CMS relative factor tables). Examples: a 65-year-old non-Medicaid, non-disabled woman is 0.513; the same woman with Medicaid and originally disabled is 1.539. C-SNPs get their own new-enrollee segment, roughly 70% higher for the same demographics (Milliman). This demographic score is the M0 baseline the risk model must beat, and the reason plan and benefit features matter: CMS ignores them, and they carry health signal.</w:t>
      </w:r>
    </w:p>
    <w:p>
      <w:pPr>
        <w:pStyle w:val="BodyText"/>
      </w:pPr>
      <w:r>
        <w:rPr>
          <w:bCs/>
          <w:b/>
        </w:rPr>
        <w:t xml:space="preserve">Why benefits encode risk.</w:t>
      </w:r>
      <w:r>
        <w:t xml:space="preserve"> </w:t>
      </w:r>
      <w:r>
        <w:t xml:space="preserve">Rebate dollars are finite, so a plan’s benefit design is a bet on who will enroll. A $0-premium HMO with a rich OTC card is priced for a different population than a PPO with a low out-of-pocket maximum. The member’s choice among those designs, combined with the enrollment period and channel they used, is revealed preference about their own expected use of care.</w:t>
      </w:r>
    </w:p>
    <w:bookmarkEnd w:id="21"/>
    <w:bookmarkStart w:id="22" w:name="uhc-plan-families"/>
    <w:p>
      <w:pPr>
        <w:pStyle w:val="Heading1"/>
      </w:pPr>
      <w:r>
        <w:t xml:space="preserve">UHC plan families</w:t>
      </w:r>
    </w:p>
    <w:p>
      <w:pPr>
        <w:pStyle w:val="FirstParagraph"/>
      </w:pPr>
      <w:r>
        <w:t xml:space="preserve">UHC sells eight distinct Medicare Advantage product families, and the family a member chose is the single strongest plan-side risk signal because each one attracts a different population by design. Individual MA plans are branded AARP Medicare Advantage (co-branded with AARP); D-SNPs are branded UnitedHealthcare Dual Complete; group plans carry the employer’s name.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left"/>
            </w:pPr>
            <w:r>
              <w:t xml:space="preserve">Plan type code</w:t>
            </w:r>
          </w:p>
        </w:tc>
        <w:tc>
          <w:tcPr/>
          <w:p>
            <w:pPr>
              <w:pStyle w:val="Compact"/>
              <w:jc w:val="left"/>
            </w:pPr>
            <w:r>
              <w:t xml:space="preserve">What it is</w:t>
            </w:r>
          </w:p>
        </w:tc>
        <w:tc>
          <w:tcPr/>
          <w:p>
            <w:pPr>
              <w:pStyle w:val="Compact"/>
              <w:jc w:val="left"/>
            </w:pPr>
            <w:r>
              <w:t xml:space="preserve">Who it attracts</w:t>
            </w:r>
          </w:p>
        </w:tc>
        <w:tc>
          <w:tcPr/>
          <w:p>
            <w:pPr>
              <w:pStyle w:val="Compact"/>
              <w:jc w:val="left"/>
            </w:pPr>
            <w:r>
              <w:t xml:space="preserve">Risk reading</w:t>
            </w:r>
          </w:p>
        </w:tc>
      </w:tr>
      <w:tr>
        <w:tc>
          <w:tcPr/>
          <w:p>
            <w:pPr>
              <w:pStyle w:val="Compact"/>
              <w:jc w:val="left"/>
            </w:pPr>
            <w:r>
              <w:t xml:space="preserve">AARP Medicare Advantage HMO</w:t>
            </w:r>
          </w:p>
        </w:tc>
        <w:tc>
          <w:tcPr/>
          <w:p>
            <w:pPr>
              <w:pStyle w:val="Compact"/>
              <w:jc w:val="left"/>
            </w:pPr>
            <w:r>
              <w:t xml:space="preserve">HMO</w:t>
            </w:r>
          </w:p>
        </w:tc>
        <w:tc>
          <w:tcPr/>
          <w:p>
            <w:pPr>
              <w:pStyle w:val="Compact"/>
              <w:jc w:val="left"/>
            </w:pPr>
            <w:r>
              <w:t xml:space="preserve">PCP required, referrals to specialists, in-network only. Usually $0 premium.</w:t>
            </w:r>
          </w:p>
        </w:tc>
        <w:tc>
          <w:tcPr/>
          <w:p>
            <w:pPr>
              <w:pStyle w:val="Compact"/>
              <w:jc w:val="left"/>
            </w:pPr>
            <w:r>
              <w:t xml:space="preserve">The mass market; UHC’s growth product for 2026 and 2027</w:t>
            </w:r>
          </w:p>
        </w:tc>
        <w:tc>
          <w:tcPr/>
          <w:p>
            <w:pPr>
              <w:pStyle w:val="Compact"/>
              <w:jc w:val="left"/>
            </w:pPr>
            <w:r>
              <w:t xml:space="preserve">Average risk; lower OOP spend than PPO members (UHC cites $175+/yr less in 2025 claims)</w:t>
            </w:r>
          </w:p>
        </w:tc>
      </w:tr>
      <w:tr>
        <w:tc>
          <w:tcPr/>
          <w:p>
            <w:pPr>
              <w:pStyle w:val="Compact"/>
              <w:jc w:val="left"/>
            </w:pPr>
            <w:r>
              <w:t xml:space="preserve">HMO-POS</w:t>
            </w:r>
          </w:p>
        </w:tc>
        <w:tc>
          <w:tcPr/>
          <w:p>
            <w:pPr>
              <w:pStyle w:val="Compact"/>
              <w:jc w:val="left"/>
            </w:pPr>
            <w:r>
              <w:t xml:space="preserve">HMO-POS</w:t>
            </w:r>
          </w:p>
        </w:tc>
        <w:tc>
          <w:tcPr/>
          <w:p>
            <w:pPr>
              <w:pStyle w:val="Compact"/>
              <w:jc w:val="left"/>
            </w:pPr>
            <w:r>
              <w:t xml:space="preserve">HMO with limited out-of-network benefit</w:t>
            </w:r>
          </w:p>
        </w:tc>
        <w:tc>
          <w:tcPr/>
          <w:p>
            <w:pPr>
              <w:pStyle w:val="Compact"/>
              <w:jc w:val="left"/>
            </w:pPr>
            <w:r>
              <w:t xml:space="preserve">Members wanting some flexibility at HMO price</w:t>
            </w:r>
          </w:p>
        </w:tc>
        <w:tc>
          <w:tcPr/>
          <w:p>
            <w:pPr>
              <w:pStyle w:val="Compact"/>
              <w:jc w:val="left"/>
            </w:pPr>
            <w:r>
              <w:t xml:space="preserve">Slightly above HMO</w:t>
            </w:r>
          </w:p>
        </w:tc>
      </w:tr>
      <w:tr>
        <w:tc>
          <w:tcPr/>
          <w:p>
            <w:pPr>
              <w:pStyle w:val="Compact"/>
              <w:jc w:val="left"/>
            </w:pPr>
            <w:r>
              <w:t xml:space="preserve">Local PPO (LPPO)</w:t>
            </w:r>
          </w:p>
        </w:tc>
        <w:tc>
          <w:tcPr/>
          <w:p>
            <w:pPr>
              <w:pStyle w:val="Compact"/>
              <w:jc w:val="left"/>
            </w:pPr>
            <w:r>
              <w:t xml:space="preserve">LPPO</w:t>
            </w:r>
          </w:p>
        </w:tc>
        <w:tc>
          <w:tcPr/>
          <w:p>
            <w:pPr>
              <w:pStyle w:val="Compact"/>
              <w:jc w:val="left"/>
            </w:pPr>
            <w:r>
              <w:t xml:space="preserve">No PCP gatekeeper, out-of-network allowed at higher cost sharing, county-level service area</w:t>
            </w:r>
          </w:p>
        </w:tc>
        <w:tc>
          <w:tcPr/>
          <w:p>
            <w:pPr>
              <w:pStyle w:val="Compact"/>
              <w:jc w:val="left"/>
            </w:pPr>
            <w:r>
              <w:t xml:space="preserve">Members with established specialists; more affluent counties</w:t>
            </w:r>
          </w:p>
        </w:tc>
        <w:tc>
          <w:tcPr/>
          <w:p>
            <w:pPr>
              <w:pStyle w:val="Compact"/>
              <w:jc w:val="left"/>
            </w:pPr>
            <w:r>
              <w:t xml:space="preserve">Above average; UHC is pulling back from PPO, so the PPO population concentrates</w:t>
            </w:r>
          </w:p>
        </w:tc>
      </w:tr>
      <w:tr>
        <w:tc>
          <w:tcPr/>
          <w:p>
            <w:pPr>
              <w:pStyle w:val="Compact"/>
              <w:jc w:val="left"/>
            </w:pPr>
            <w:r>
              <w:t xml:space="preserve">Regional PPO (RPPO)</w:t>
            </w:r>
          </w:p>
        </w:tc>
        <w:tc>
          <w:tcPr/>
          <w:p>
            <w:pPr>
              <w:pStyle w:val="Compact"/>
              <w:jc w:val="left"/>
            </w:pPr>
            <w:r>
              <w:t xml:space="preserve">RPPO</w:t>
            </w:r>
          </w:p>
        </w:tc>
        <w:tc>
          <w:tcPr/>
          <w:p>
            <w:pPr>
              <w:pStyle w:val="Compact"/>
              <w:jc w:val="left"/>
            </w:pPr>
            <w:r>
              <w:t xml:space="preserve">PPO sold across a whole CMS region, contract ID starts with R</w:t>
            </w:r>
          </w:p>
        </w:tc>
        <w:tc>
          <w:tcPr/>
          <w:p>
            <w:pPr>
              <w:pStyle w:val="Compact"/>
              <w:jc w:val="left"/>
            </w:pPr>
            <w:r>
              <w:t xml:space="preserve">Rural and multi-state markets</w:t>
            </w:r>
          </w:p>
        </w:tc>
        <w:tc>
          <w:tcPr/>
          <w:p>
            <w:pPr>
              <w:pStyle w:val="Compact"/>
              <w:jc w:val="left"/>
            </w:pPr>
            <w:r>
              <w:t xml:space="preserve">Similar to LPPO; thinner networks</w:t>
            </w:r>
          </w:p>
        </w:tc>
      </w:tr>
      <w:tr>
        <w:tc>
          <w:tcPr/>
          <w:p>
            <w:pPr>
              <w:pStyle w:val="Compact"/>
              <w:jc w:val="left"/>
            </w:pPr>
            <w:r>
              <w:t xml:space="preserve">D-SNP (Dual Complete)</w:t>
            </w:r>
          </w:p>
        </w:tc>
        <w:tc>
          <w:tcPr/>
          <w:p>
            <w:pPr>
              <w:pStyle w:val="Compact"/>
              <w:jc w:val="left"/>
            </w:pPr>
            <w:r>
              <w:t xml:space="preserve">HMO or PPO, SNP type D</w:t>
            </w:r>
          </w:p>
        </w:tc>
        <w:tc>
          <w:tcPr/>
          <w:p>
            <w:pPr>
              <w:pStyle w:val="Compact"/>
              <w:jc w:val="left"/>
            </w:pPr>
            <w:r>
              <w:t xml:space="preserve">For members with both Medicare and Medicaid. Needs a state Medicaid contract. Rich OTC, healthy food and utility credits via UCard</w:t>
            </w:r>
          </w:p>
        </w:tc>
        <w:tc>
          <w:tcPr/>
          <w:p>
            <w:pPr>
              <w:pStyle w:val="Compact"/>
              <w:jc w:val="left"/>
            </w:pPr>
            <w:r>
              <w:t xml:space="preserve">Low-income duals; 74% of duals have a UHC D-SNP in 2027, down from ~80% in 2026</w:t>
            </w:r>
          </w:p>
        </w:tc>
        <w:tc>
          <w:tcPr/>
          <w:p>
            <w:pPr>
              <w:pStyle w:val="Compact"/>
              <w:jc w:val="left"/>
            </w:pPr>
            <w:r>
              <w:t xml:space="preserve">High; full-benefit duals on waivers highest</w:t>
            </w:r>
          </w:p>
        </w:tc>
      </w:tr>
      <w:tr>
        <w:tc>
          <w:tcPr/>
          <w:p>
            <w:pPr>
              <w:pStyle w:val="Compact"/>
              <w:jc w:val="left"/>
            </w:pPr>
            <w:r>
              <w:t xml:space="preserve">C-SNP</w:t>
            </w:r>
          </w:p>
        </w:tc>
        <w:tc>
          <w:tcPr/>
          <w:p>
            <w:pPr>
              <w:pStyle w:val="Compact"/>
              <w:jc w:val="left"/>
            </w:pPr>
            <w:r>
              <w:t xml:space="preserve">HMO or PPO, SNP type C</w:t>
            </w:r>
          </w:p>
        </w:tc>
        <w:tc>
          <w:tcPr/>
          <w:p>
            <w:pPr>
              <w:pStyle w:val="Compact"/>
              <w:jc w:val="left"/>
            </w:pPr>
            <w:r>
              <w:t xml:space="preserve">Only for members with a verified qualifying condition; UHC offers diabetes, cardiovascular and CHF groupings, reaching ~48M eligibles in 2027</w:t>
            </w:r>
          </w:p>
        </w:tc>
        <w:tc>
          <w:tcPr/>
          <w:p>
            <w:pPr>
              <w:pStyle w:val="Compact"/>
              <w:jc w:val="left"/>
            </w:pPr>
            <w:r>
              <w:t xml:space="preserve">People with a diagnosis, by definition</w:t>
            </w:r>
          </w:p>
        </w:tc>
        <w:tc>
          <w:tcPr/>
          <w:p>
            <w:pPr>
              <w:pStyle w:val="Compact"/>
              <w:jc w:val="left"/>
            </w:pPr>
            <w:r>
              <w:t xml:space="preserve">High and condition-specific; CMS gives C-SNP new enrollees a higher demographic score</w:t>
            </w:r>
          </w:p>
        </w:tc>
      </w:tr>
      <w:tr>
        <w:tc>
          <w:tcPr/>
          <w:p>
            <w:pPr>
              <w:pStyle w:val="Compact"/>
              <w:jc w:val="left"/>
            </w:pPr>
            <w:r>
              <w:t xml:space="preserve">I-SNP</w:t>
            </w:r>
          </w:p>
        </w:tc>
        <w:tc>
          <w:tcPr/>
          <w:p>
            <w:pPr>
              <w:pStyle w:val="Compact"/>
              <w:jc w:val="left"/>
            </w:pPr>
            <w:r>
              <w:t xml:space="preserve">SNP type I</w:t>
            </w:r>
          </w:p>
        </w:tc>
        <w:tc>
          <w:tcPr/>
          <w:p>
            <w:pPr>
              <w:pStyle w:val="Compact"/>
              <w:jc w:val="left"/>
            </w:pPr>
            <w:r>
              <w:t xml:space="preserve">Long-term nursing-home residents or institutional-equivalent at home</w:t>
            </w:r>
          </w:p>
        </w:tc>
        <w:tc>
          <w:tcPr/>
          <w:p>
            <w:pPr>
              <w:pStyle w:val="Compact"/>
              <w:jc w:val="left"/>
            </w:pPr>
            <w:r>
              <w:t xml:space="preserve">Very frail; ~90% duals nationally</w:t>
            </w:r>
          </w:p>
        </w:tc>
        <w:tc>
          <w:tcPr/>
          <w:p>
            <w:pPr>
              <w:pStyle w:val="Compact"/>
              <w:jc w:val="left"/>
            </w:pPr>
            <w:r>
              <w:t xml:space="preserve">Very high; small volume</w:t>
            </w:r>
          </w:p>
        </w:tc>
      </w:tr>
      <w:tr>
        <w:tc>
          <w:tcPr/>
          <w:p>
            <w:pPr>
              <w:pStyle w:val="Compact"/>
              <w:jc w:val="left"/>
            </w:pPr>
            <w:r>
              <w:t xml:space="preserve">Group MA (EGWP)</w:t>
            </w:r>
          </w:p>
        </w:tc>
        <w:tc>
          <w:tcPr/>
          <w:p>
            <w:pPr>
              <w:pStyle w:val="Compact"/>
              <w:jc w:val="left"/>
            </w:pPr>
            <w:r>
              <w:t xml:space="preserve">HMO or PPO, EGHP flag</w:t>
            </w:r>
          </w:p>
        </w:tc>
        <w:tc>
          <w:tcPr/>
          <w:p>
            <w:pPr>
              <w:pStyle w:val="Compact"/>
              <w:jc w:val="left"/>
            </w:pPr>
            <w:r>
              <w:t xml:space="preserve">Employer or union retiree plans, usually PPO, customized benefits</w:t>
            </w:r>
          </w:p>
        </w:tc>
        <w:tc>
          <w:tcPr/>
          <w:p>
            <w:pPr>
              <w:pStyle w:val="Compact"/>
              <w:jc w:val="left"/>
            </w:pPr>
            <w:r>
              <w:t xml:space="preserve">Retirees of large employers; UHC lost ~219,000 group members in 2026</w:t>
            </w:r>
          </w:p>
        </w:tc>
        <w:tc>
          <w:tcPr/>
          <w:p>
            <w:pPr>
              <w:pStyle w:val="Compact"/>
              <w:jc w:val="left"/>
            </w:pPr>
            <w:r>
              <w:t xml:space="preserve">Different selection; model separately</w:t>
            </w:r>
          </w:p>
        </w:tc>
      </w:tr>
      <w:tr>
        <w:tc>
          <w:tcPr/>
          <w:p>
            <w:pPr>
              <w:pStyle w:val="Compact"/>
              <w:jc w:val="left"/>
            </w:pPr>
            <w:r>
              <w:t xml:space="preserve">MA-only (Patriot)</w:t>
            </w:r>
          </w:p>
        </w:tc>
        <w:tc>
          <w:tcPr/>
          <w:p>
            <w:pPr>
              <w:pStyle w:val="Compact"/>
              <w:jc w:val="left"/>
            </w:pPr>
            <w:r>
              <w:t xml:space="preserve">HMO or PPO, no Part D</w:t>
            </w:r>
          </w:p>
        </w:tc>
        <w:tc>
          <w:tcPr/>
          <w:p>
            <w:pPr>
              <w:pStyle w:val="Compact"/>
              <w:jc w:val="left"/>
            </w:pPr>
            <w:r>
              <w:t xml:space="preserve">For people with other drug coverage (VA, employer)</w:t>
            </w:r>
          </w:p>
        </w:tc>
        <w:tc>
          <w:tcPr/>
          <w:p>
            <w:pPr>
              <w:pStyle w:val="Compact"/>
              <w:jc w:val="left"/>
            </w:pPr>
            <w:r>
              <w:t xml:space="preserve">Veterans; TRICARE for Life</w:t>
            </w:r>
          </w:p>
        </w:tc>
        <w:tc>
          <w:tcPr/>
          <w:p>
            <w:pPr>
              <w:pStyle w:val="Compact"/>
              <w:jc w:val="left"/>
            </w:pPr>
            <w:r>
              <w:t xml:space="preserve">Distinct utilization; Rx data missing from UHC</w:t>
            </w:r>
          </w:p>
        </w:tc>
      </w:tr>
    </w:tbl>
    <w:p>
      <w:pPr>
        <w:pStyle w:val="BodyText"/>
      </w:pPr>
      <w:r>
        <w:rPr>
          <w:bCs/>
          <w:b/>
        </w:rPr>
        <w:t xml:space="preserve">How the mix is shifting.</w:t>
      </w:r>
      <w:r>
        <w:t xml:space="preserve"> </w:t>
      </w:r>
      <w:r>
        <w:t xml:space="preserve">UHC’s portfolio moved from 6,462 HMO plan-county offerings in 2026 to 7,009 in 2027 while the total fell from 12,421 to 11,734, with the exits concentrated in broker-sold PPOs (Fierce Healthcare). SNP enrollment grew by 267,000 at UHC in 2026 even as individual non-SNP enrollment fell by 582,000 (KFF). A model trained on 2024 cohorts sees a more PPO-heavy, less SNP-heavy population than a 2027 cohort, so plan family must be a feature, not an assumption.</w:t>
      </w:r>
    </w:p>
    <w:p>
      <w:pPr>
        <w:pStyle w:val="BodyText"/>
      </w:pPr>
      <w:r>
        <w:rPr>
          <w:bCs/>
          <w:b/>
        </w:rPr>
        <w:t xml:space="preserve">The two non-MA products that matter as prior coverage.</w:t>
      </w:r>
      <w:r>
        <w:t xml:space="preserve"> </w:t>
      </w:r>
      <w:r>
        <w:t xml:space="preserve">AARP Medicare Supplement (Medigap, 4.3M members at year-end 2025) and AARP MedicareRx standalone PDPs (2.8M) are UHC products outside MA (Becker’s). A member who moves from either into AARP MA is new to MA but has a UHC relationship, and the PDP side holds a drug history.</w:t>
      </w:r>
    </w:p>
    <w:bookmarkEnd w:id="22"/>
    <w:bookmarkStart w:id="23" w:name="X5099d76bb219dc00579d49785daa39eb71e60b0"/>
    <w:p>
      <w:pPr>
        <w:pStyle w:val="Heading1"/>
      </w:pPr>
      <w:r>
        <w:t xml:space="preserve">Anatomy of a plan: keys the agent joins on</w:t>
      </w:r>
    </w:p>
    <w:p>
      <w:pPr>
        <w:pStyle w:val="FirstParagraph"/>
      </w:pPr>
      <w:r>
        <w:t xml:space="preserve">Every MA plan is identified by three fields, and the agent needs all three plus the SSA county code to join a member to the public plan files:</w:t>
      </w:r>
      <w:r>
        <w:t xml:space="preserve"> </w:t>
      </w:r>
      <w:r>
        <w:rPr>
          <w:rStyle w:val="VerbatimChar"/>
        </w:rPr>
        <w:t xml:space="preserve">CONTRACT_ID</w:t>
      </w:r>
      <w:r>
        <w:t xml:space="preserve"> </w:t>
      </w:r>
      <w:r>
        <w:t xml:space="preserve">(5 characters),</w:t>
      </w:r>
      <w:r>
        <w:t xml:space="preserve"> </w:t>
      </w:r>
      <w:r>
        <w:rPr>
          <w:rStyle w:val="VerbatimChar"/>
        </w:rPr>
        <w:t xml:space="preserve">PLAN_ID</w:t>
      </w:r>
      <w:r>
        <w:t xml:space="preserve"> </w:t>
      </w:r>
      <w:r>
        <w:t xml:space="preserve">(3 characters, the PBP), and</w:t>
      </w:r>
      <w:r>
        <w:t xml:space="preserve"> </w:t>
      </w:r>
      <w:r>
        <w:rPr>
          <w:rStyle w:val="VerbatimChar"/>
        </w:rPr>
        <w:t xml:space="preserve">SEGMENT_ID</w:t>
      </w:r>
      <w:r>
        <w:t xml:space="preserve"> </w:t>
      </w:r>
      <w:r>
        <w:t xml:space="preserve">(3 characters,</w:t>
      </w:r>
      <w:r>
        <w:t xml:space="preserve"> </w:t>
      </w:r>
      <w:r>
        <w:rPr>
          <w:rStyle w:val="VerbatimChar"/>
        </w:rPr>
        <w:t xml:space="preserve">000</w:t>
      </w:r>
      <w:r>
        <w:t xml:space="preserve"> </w:t>
      </w:r>
      <w:r>
        <w:t xml:space="preserve">when unsegmented).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Format</w:t>
            </w:r>
          </w:p>
        </w:tc>
        <w:tc>
          <w:tcPr/>
          <w:p>
            <w:pPr>
              <w:pStyle w:val="Compact"/>
              <w:jc w:val="left"/>
            </w:pPr>
            <w:r>
              <w:t xml:space="preserve">Meaning</w:t>
            </w:r>
          </w:p>
        </w:tc>
        <w:tc>
          <w:tcPr/>
          <w:p>
            <w:pPr>
              <w:pStyle w:val="Compact"/>
              <w:jc w:val="left"/>
            </w:pPr>
            <w:r>
              <w:t xml:space="preserve">Where it appears</w:t>
            </w:r>
          </w:p>
        </w:tc>
      </w:tr>
      <w:tr>
        <w:tc>
          <w:tcPr/>
          <w:p>
            <w:pPr>
              <w:pStyle w:val="Compact"/>
              <w:jc w:val="left"/>
            </w:pPr>
            <w:r>
              <w:t xml:space="preserve">Contract ID</w:t>
            </w:r>
          </w:p>
        </w:tc>
        <w:tc>
          <w:tcPr/>
          <w:p>
            <w:pPr>
              <w:pStyle w:val="Compact"/>
              <w:jc w:val="left"/>
            </w:pPr>
            <w:r>
              <w:t xml:space="preserve">Letter + 4 digits, e.g. H1234</w:t>
            </w:r>
          </w:p>
        </w:tc>
        <w:tc>
          <w:tcPr/>
          <w:p>
            <w:pPr>
              <w:pStyle w:val="Compact"/>
              <w:jc w:val="left"/>
            </w:pPr>
            <w:r>
              <w:t xml:space="preserve">The CMS contract. Prefix: H local MA (HMO, LPPO, PFFS, cost, PACE), R regional PPO, S standalone PDP, E employer-direct, X LI NET</w:t>
            </w:r>
          </w:p>
        </w:tc>
        <w:tc>
          <w:tcPr/>
          <w:p>
            <w:pPr>
              <w:pStyle w:val="Compact"/>
              <w:jc w:val="left"/>
            </w:pPr>
            <w:r>
              <w:t xml:space="preserve">MMR, MOR, enrollment, every CMS file; star ratings are at this grain</w:t>
            </w:r>
          </w:p>
        </w:tc>
      </w:tr>
      <w:tr>
        <w:tc>
          <w:tcPr/>
          <w:p>
            <w:pPr>
              <w:pStyle w:val="Compact"/>
              <w:jc w:val="left"/>
            </w:pPr>
            <w:r>
              <w:t xml:space="preserve">Plan ID (PBP)</w:t>
            </w:r>
          </w:p>
        </w:tc>
        <w:tc>
          <w:tcPr/>
          <w:p>
            <w:pPr>
              <w:pStyle w:val="Compact"/>
              <w:jc w:val="left"/>
            </w:pPr>
            <w:r>
              <w:t xml:space="preserve">3 alphanumeric, leading zeros, e.g. 001</w:t>
            </w:r>
          </w:p>
        </w:tc>
        <w:tc>
          <w:tcPr/>
          <w:p>
            <w:pPr>
              <w:pStyle w:val="Compact"/>
              <w:jc w:val="left"/>
            </w:pPr>
            <w:r>
              <w:t xml:space="preserve">A benefit package inside the contract. The benefit design lives here</w:t>
            </w:r>
          </w:p>
        </w:tc>
        <w:tc>
          <w:tcPr/>
          <w:p>
            <w:pPr>
              <w:pStyle w:val="Compact"/>
              <w:jc w:val="left"/>
            </w:pPr>
            <w:r>
              <w:t xml:space="preserve">MMR, enrollment, Landscape, PBP Benefits, CPSC enrollment</w:t>
            </w:r>
          </w:p>
        </w:tc>
      </w:tr>
      <w:tr>
        <w:tc>
          <w:tcPr/>
          <w:p>
            <w:pPr>
              <w:pStyle w:val="Compact"/>
              <w:jc w:val="left"/>
            </w:pPr>
            <w:r>
              <w:t xml:space="preserve">Segment ID</w:t>
            </w:r>
          </w:p>
        </w:tc>
        <w:tc>
          <w:tcPr/>
          <w:p>
            <w:pPr>
              <w:pStyle w:val="Compact"/>
              <w:jc w:val="left"/>
            </w:pPr>
            <w:r>
              <w:t xml:space="preserve">3 chars, 000 if none</w:t>
            </w:r>
          </w:p>
        </w:tc>
        <w:tc>
          <w:tcPr/>
          <w:p>
            <w:pPr>
              <w:pStyle w:val="Compact"/>
              <w:jc w:val="left"/>
            </w:pPr>
            <w:r>
              <w:t xml:space="preserve">A county-defined sub-area of a PBP with its own premium</w:t>
            </w:r>
          </w:p>
        </w:tc>
        <w:tc>
          <w:tcPr/>
          <w:p>
            <w:pPr>
              <w:pStyle w:val="Compact"/>
              <w:jc w:val="left"/>
            </w:pPr>
            <w:r>
              <w:t xml:space="preserve">Landscape, PBP Benefits, formulary PUF; not in CPSC enrollment</w:t>
            </w:r>
          </w:p>
        </w:tc>
      </w:tr>
      <w:tr>
        <w:tc>
          <w:tcPr/>
          <w:p>
            <w:pPr>
              <w:pStyle w:val="Compact"/>
              <w:jc w:val="left"/>
            </w:pPr>
            <w:r>
              <w:t xml:space="preserve">SSA county code</w:t>
            </w:r>
          </w:p>
        </w:tc>
        <w:tc>
          <w:tcPr/>
          <w:p>
            <w:pPr>
              <w:pStyle w:val="Compact"/>
              <w:jc w:val="left"/>
            </w:pPr>
            <w:r>
              <w:t xml:space="preserve">5 chars, e.g. 45360</w:t>
            </w:r>
          </w:p>
        </w:tc>
        <w:tc>
          <w:tcPr/>
          <w:p>
            <w:pPr>
              <w:pStyle w:val="Compact"/>
              <w:jc w:val="left"/>
            </w:pPr>
            <w:r>
              <w:t xml:space="preserve">CMS’s own state+county code; it is not FIPS</w:t>
            </w:r>
          </w:p>
        </w:tc>
        <w:tc>
          <w:tcPr/>
          <w:p>
            <w:pPr>
              <w:pStyle w:val="Compact"/>
              <w:jc w:val="left"/>
            </w:pPr>
            <w:r>
              <w:t xml:space="preserve">MMR, rate book, CPSC, Landscape (as county name), formulary PUF</w:t>
            </w:r>
          </w:p>
        </w:tc>
      </w:tr>
      <w:tr>
        <w:tc>
          <w:tcPr/>
          <w:p>
            <w:pPr>
              <w:pStyle w:val="Compact"/>
              <w:jc w:val="left"/>
            </w:pPr>
            <w:r>
              <w:t xml:space="preserve">Plan year</w:t>
            </w:r>
          </w:p>
        </w:tc>
        <w:tc>
          <w:tcPr/>
          <w:p>
            <w:pPr>
              <w:pStyle w:val="Compact"/>
              <w:jc w:val="left"/>
            </w:pPr>
            <w:r>
              <w:t xml:space="preserve">4-digit</w:t>
            </w:r>
          </w:p>
        </w:tc>
        <w:tc>
          <w:tcPr/>
          <w:p>
            <w:pPr>
              <w:pStyle w:val="Compact"/>
              <w:jc w:val="left"/>
            </w:pPr>
            <w:r>
              <w:t xml:space="preserve">Benefits and premiums change every January 1</w:t>
            </w:r>
          </w:p>
        </w:tc>
        <w:tc>
          <w:tcPr/>
          <w:p>
            <w:pPr>
              <w:pStyle w:val="Compact"/>
              <w:jc w:val="left"/>
            </w:pPr>
            <w:r>
              <w:t xml:space="preserve">All files; join on it</w:t>
            </w:r>
          </w:p>
        </w:tc>
      </w:tr>
    </w:tbl>
    <w:p>
      <w:pPr>
        <w:pStyle w:val="BodyText"/>
      </w:pPr>
      <w:r>
        <w:rPr>
          <w:bCs/>
          <w:b/>
        </w:rPr>
        <w:t xml:space="preserve">The composite plan key.</w:t>
      </w:r>
      <w:r>
        <w:t xml:space="preserve"> </w:t>
      </w:r>
      <w:r>
        <w:t xml:space="preserve">Build</w:t>
      </w:r>
      <w:r>
        <w:t xml:space="preserve"> </w:t>
      </w:r>
      <w:r>
        <w:rPr>
          <w:rStyle w:val="VerbatimChar"/>
        </w:rPr>
        <w:t xml:space="preserve">plan_key = contract_id || '-' || plan_id || '-' || segment_id || '-' || plan_year</w:t>
      </w:r>
      <w:r>
        <w:t xml:space="preserve"> </w:t>
      </w:r>
      <w:r>
        <w:t xml:space="preserve">once, in a dimension table, and join everything through it. A plan’s benefits can differ by segment, so joining on contract and PBP alone can attach the wrong premium or MOOP.</w:t>
      </w:r>
    </w:p>
    <w:p>
      <w:pPr>
        <w:pStyle w:val="BodyText"/>
      </w:pPr>
      <w:r>
        <w:rPr>
          <w:bCs/>
          <w:b/>
        </w:rPr>
        <w:t xml:space="preserve">County codes.</w:t>
      </w:r>
      <w:r>
        <w:t xml:space="preserve"> </w:t>
      </w:r>
      <w:r>
        <w:t xml:space="preserve">CMS files carry the SSA code; Google PDFM, CDC PLACES and ADI carry FIPS. Use the NBER SSA-to-FIPS crosswalk, one file per year 2011 to 2026, built from the CMS rate book. Known traps: Los Angeles County has two SSA codes (05200 and 05210), and Connecticut’s 2024 planning regions do not crosswalk cleanly.</w:t>
      </w:r>
    </w:p>
    <w:p>
      <w:pPr>
        <w:pStyle w:val="BodyText"/>
      </w:pPr>
      <w:r>
        <w:rPr>
          <w:bCs/>
          <w:b/>
        </w:rPr>
        <w:t xml:space="preserve">Year-to-year identity.</w:t>
      </w:r>
      <w:r>
        <w:t xml:space="preserve"> </w:t>
      </w:r>
      <w:r>
        <w:t xml:space="preserve">PBP numbers are reused and reshuffled each year. The CMS Part C&amp;D Plan Crosswalk (annual, 2006 to 2027) maps each prior-year contract/PBP/segment to its current-year successor with a relationship code: renewal, consolidated renewal, renewal with service area expansion or reduction, termination. Use it to tell a member who</w:t>
      </w:r>
      <w:r>
        <w:t xml:space="preserve"> </w:t>
      </w:r>
      <w:r>
        <w:t xml:space="preserve">“</w:t>
      </w:r>
      <w:r>
        <w:t xml:space="preserve">switched plans</w:t>
      </w:r>
      <w:r>
        <w:t xml:space="preserve">”</w:t>
      </w:r>
      <w:r>
        <w:t xml:space="preserve"> </w:t>
      </w:r>
      <w:r>
        <w:t xml:space="preserve">from one whose plan was simply renumbered, and to find members who were involuntarily moved by a non-renewal, which is itself an SEP signal.</w:t>
      </w:r>
    </w:p>
    <w:p>
      <w:pPr>
        <w:pStyle w:val="BodyText"/>
      </w:pPr>
      <w:r>
        <w:rPr>
          <w:bCs/>
          <w:b/>
        </w:rPr>
        <w:t xml:space="preserve">Star rating.</w:t>
      </w:r>
      <w:r>
        <w:t xml:space="preserve"> </w:t>
      </w:r>
      <w:r>
        <w:t xml:space="preserve">The contract, not the plan, carries the rating. A member’s plan inherits the contract’s overall star rating for the plan year; the rating published in October of year N applies to payment in year N+1 and appears on Plan Finder for AEP. UHC’s 2027 star tables were posted October 8, 2026.</w:t>
      </w:r>
    </w:p>
    <w:p>
      <w:pPr>
        <w:pStyle w:val="BodyText"/>
      </w:pPr>
      <w:r>
        <w:rPr>
          <w:bCs/>
          <w:b/>
        </w:rPr>
        <w:t xml:space="preserve">Service area.</w:t>
      </w:r>
      <w:r>
        <w:t xml:space="preserve"> </w:t>
      </w:r>
      <w:r>
        <w:t xml:space="preserve">A plan’s service area is a list of SSA counties. The MA Contract Service Area by State/County file (monthly) gives it, and the Landscape file has one row per plan per county, so the number of counties a plan covers and whether the member’s county is at the edge of the service area are both derivable.</w:t>
      </w:r>
    </w:p>
    <w:bookmarkEnd w:id="23"/>
    <w:bookmarkStart w:id="24" w:name="benefit-design-dimensions"/>
    <w:p>
      <w:pPr>
        <w:pStyle w:val="Heading1"/>
      </w:pPr>
      <w:r>
        <w:t xml:space="preserve">Benefit design dimensions</w:t>
      </w:r>
    </w:p>
    <w:p>
      <w:pPr>
        <w:pStyle w:val="FirstParagraph"/>
      </w:pPr>
      <w:r>
        <w:t xml:space="preserve">A plan’s benefit package has about a dozen dimensions that matter for risk, and each one should be encoded relative to the other plans available in the same county and year, because the absolute values drift every year and the signal is in what the member chose over the alternatives.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Where it lives</w:t>
            </w:r>
          </w:p>
        </w:tc>
        <w:tc>
          <w:tcPr/>
          <w:p>
            <w:pPr>
              <w:pStyle w:val="Compact"/>
              <w:jc w:val="left"/>
            </w:pPr>
            <w:r>
              <w:t xml:space="preserve">Range seen 2024 to 2027</w:t>
            </w:r>
          </w:p>
        </w:tc>
        <w:tc>
          <w:tcPr/>
          <w:p>
            <w:pPr>
              <w:pStyle w:val="Compact"/>
              <w:jc w:val="left"/>
            </w:pPr>
            <w:r>
              <w:t xml:space="preserve">What the member’s choice signals</w:t>
            </w:r>
          </w:p>
        </w:tc>
      </w:tr>
      <w:tr>
        <w:tc>
          <w:tcPr/>
          <w:p>
            <w:pPr>
              <w:pStyle w:val="Compact"/>
              <w:jc w:val="left"/>
            </w:pPr>
            <w:r>
              <w:t xml:space="preserve">Part C premium</w:t>
            </w:r>
          </w:p>
        </w:tc>
        <w:tc>
          <w:tcPr/>
          <w:p>
            <w:pPr>
              <w:pStyle w:val="Compact"/>
              <w:jc w:val="left"/>
            </w:pPr>
            <w:r>
              <w:t xml:space="preserve">Landscape: Part C Premium, Monthly Consolidated Premium</w:t>
            </w:r>
          </w:p>
        </w:tc>
        <w:tc>
          <w:tcPr/>
          <w:p>
            <w:pPr>
              <w:pStyle w:val="Compact"/>
              <w:jc w:val="left"/>
            </w:pPr>
            <w:r>
              <w:t xml:space="preserve">$0 for 67% of individual MA-PDs in 2026; CMS average $12 in 2027</w:t>
            </w:r>
          </w:p>
        </w:tc>
        <w:tc>
          <w:tcPr/>
          <w:p>
            <w:pPr>
              <w:pStyle w:val="Compact"/>
              <w:jc w:val="left"/>
            </w:pPr>
            <w:r>
              <w:t xml:space="preserve">Paying a premium when $0 options exist means buying richer coverage: expected use</w:t>
            </w:r>
          </w:p>
        </w:tc>
      </w:tr>
      <w:tr>
        <w:tc>
          <w:tcPr/>
          <w:p>
            <w:pPr>
              <w:pStyle w:val="Compact"/>
              <w:jc w:val="left"/>
            </w:pPr>
            <w:r>
              <w:t xml:space="preserve">Part B giveback</w:t>
            </w:r>
          </w:p>
        </w:tc>
        <w:tc>
          <w:tcPr/>
          <w:p>
            <w:pPr>
              <w:pStyle w:val="Compact"/>
              <w:jc w:val="left"/>
            </w:pPr>
            <w:r>
              <w:t xml:space="preserve">PBP Section D; Landscape via premium reduction</w:t>
            </w:r>
          </w:p>
        </w:tc>
        <w:tc>
          <w:tcPr/>
          <w:p>
            <w:pPr>
              <w:pStyle w:val="Compact"/>
              <w:jc w:val="left"/>
            </w:pPr>
            <w:r>
              <w:t xml:space="preserve">Offered by 32% of individual plans in 2026</w:t>
            </w:r>
          </w:p>
        </w:tc>
        <w:tc>
          <w:tcPr/>
          <w:p>
            <w:pPr>
              <w:pStyle w:val="Compact"/>
              <w:jc w:val="left"/>
            </w:pPr>
            <w:r>
              <w:t xml:space="preserve">Giveback plans attract price-sensitive, often healthier members; also attract Medigap switchers</w:t>
            </w:r>
          </w:p>
        </w:tc>
      </w:tr>
      <w:tr>
        <w:tc>
          <w:tcPr/>
          <w:p>
            <w:pPr>
              <w:pStyle w:val="Compact"/>
              <w:jc w:val="left"/>
            </w:pPr>
            <w:r>
              <w:t xml:space="preserve">In-network MOOP</w:t>
            </w:r>
          </w:p>
        </w:tc>
        <w:tc>
          <w:tcPr/>
          <w:p>
            <w:pPr>
              <w:pStyle w:val="Compact"/>
              <w:jc w:val="left"/>
            </w:pPr>
            <w:r>
              <w:t xml:space="preserve">Landscape: In-Network MOOP; PBP Section D</w:t>
            </w:r>
          </w:p>
        </w:tc>
        <w:tc>
          <w:tcPr/>
          <w:p>
            <w:pPr>
              <w:pStyle w:val="Compact"/>
              <w:jc w:val="left"/>
            </w:pPr>
            <w:r>
              <w:t xml:space="preserve">Average $5,421 in 2026; average OOP max rose 9.1% for 2027</w:t>
            </w:r>
          </w:p>
        </w:tc>
        <w:tc>
          <w:tcPr/>
          <w:p>
            <w:pPr>
              <w:pStyle w:val="Compact"/>
              <w:jc w:val="left"/>
            </w:pPr>
            <w:r>
              <w:t xml:space="preserve">Choosing a low MOOP over a $0-premium high-MOOP plan is a bet on hitting it</w:t>
            </w:r>
          </w:p>
        </w:tc>
      </w:tr>
      <w:tr>
        <w:tc>
          <w:tcPr/>
          <w:p>
            <w:pPr>
              <w:pStyle w:val="Compact"/>
              <w:jc w:val="left"/>
            </w:pPr>
            <w:r>
              <w:t xml:space="preserve">Out-of-network MOOP and OON cost sharing</w:t>
            </w:r>
          </w:p>
        </w:tc>
        <w:tc>
          <w:tcPr/>
          <w:p>
            <w:pPr>
              <w:pStyle w:val="Compact"/>
              <w:jc w:val="left"/>
            </w:pPr>
            <w:r>
              <w:t xml:space="preserve">PBP Section C</w:t>
            </w:r>
          </w:p>
        </w:tc>
        <w:tc>
          <w:tcPr/>
          <w:p>
            <w:pPr>
              <w:pStyle w:val="Compact"/>
              <w:jc w:val="left"/>
            </w:pPr>
            <w:r>
              <w:t xml:space="preserve">PPO only</w:t>
            </w:r>
          </w:p>
        </w:tc>
        <w:tc>
          <w:tcPr/>
          <w:p>
            <w:pPr>
              <w:pStyle w:val="Compact"/>
              <w:jc w:val="left"/>
            </w:pPr>
            <w:r>
              <w:t xml:space="preserve">Willingness to pay for OON access signals existing specialist relationships</w:t>
            </w:r>
          </w:p>
        </w:tc>
      </w:tr>
      <w:tr>
        <w:tc>
          <w:tcPr/>
          <w:p>
            <w:pPr>
              <w:pStyle w:val="Compact"/>
              <w:jc w:val="left"/>
            </w:pPr>
            <w:r>
              <w:t xml:space="preserve">Deductible (medical)</w:t>
            </w:r>
          </w:p>
        </w:tc>
        <w:tc>
          <w:tcPr/>
          <w:p>
            <w:pPr>
              <w:pStyle w:val="Compact"/>
              <w:jc w:val="left"/>
            </w:pPr>
            <w:r>
              <w:t xml:space="preserve">PBP Section D</w:t>
            </w:r>
          </w:p>
        </w:tc>
        <w:tc>
          <w:tcPr/>
          <w:p>
            <w:pPr>
              <w:pStyle w:val="Compact"/>
              <w:jc w:val="left"/>
            </w:pPr>
            <w:r>
              <w:t xml:space="preserve">Mostly $0 on HMOs</w:t>
            </w:r>
          </w:p>
        </w:tc>
        <w:tc>
          <w:tcPr/>
          <w:p>
            <w:pPr>
              <w:pStyle w:val="Compact"/>
              <w:jc w:val="left"/>
            </w:pPr>
            <w:r>
              <w:t xml:space="preserve">Rare; a non-zero medical deductible marks a leaner design</w:t>
            </w:r>
          </w:p>
        </w:tc>
      </w:tr>
      <w:tr>
        <w:tc>
          <w:tcPr/>
          <w:p>
            <w:pPr>
              <w:pStyle w:val="Compact"/>
              <w:jc w:val="left"/>
            </w:pPr>
            <w:r>
              <w:t xml:space="preserve">Copay structure</w:t>
            </w:r>
          </w:p>
        </w:tc>
        <w:tc>
          <w:tcPr/>
          <w:p>
            <w:pPr>
              <w:pStyle w:val="Compact"/>
              <w:jc w:val="left"/>
            </w:pPr>
            <w:r>
              <w:t xml:space="preserve">PBP Section B (B1a inpatient, B4a ER, B7a PCP, B7d specialist, B2 SNF, B6a home health)</w:t>
            </w:r>
          </w:p>
        </w:tc>
        <w:tc>
          <w:tcPr/>
          <w:p>
            <w:pPr>
              <w:pStyle w:val="Compact"/>
              <w:jc w:val="left"/>
            </w:pPr>
            <w:r>
              <w:t xml:space="preserve">Inpatient per-day copays, specialist $0 to $50</w:t>
            </w:r>
          </w:p>
        </w:tc>
        <w:tc>
          <w:tcPr/>
          <w:p>
            <w:pPr>
              <w:pStyle w:val="Compact"/>
              <w:jc w:val="left"/>
            </w:pPr>
            <w:r>
              <w:t xml:space="preserve">Inpatient day copay times typical stay is the real cost exposure; specialist copay level marks plan richness</w:t>
            </w:r>
          </w:p>
        </w:tc>
      </w:tr>
      <w:tr>
        <w:tc>
          <w:tcPr/>
          <w:p>
            <w:pPr>
              <w:pStyle w:val="Compact"/>
              <w:jc w:val="left"/>
            </w:pPr>
            <w:r>
              <w:t xml:space="preserve">Part D design</w:t>
            </w:r>
          </w:p>
        </w:tc>
        <w:tc>
          <w:tcPr/>
          <w:p>
            <w:pPr>
              <w:pStyle w:val="Compact"/>
              <w:jc w:val="left"/>
            </w:pPr>
            <w:r>
              <w:t xml:space="preserve">PBP Rx section; Landscape: Part D deductible, Drug Benefit Type (basic vs enhanced), tier with no deductible</w:t>
            </w:r>
          </w:p>
        </w:tc>
        <w:tc>
          <w:tcPr/>
          <w:p>
            <w:pPr>
              <w:pStyle w:val="Compact"/>
              <w:jc w:val="left"/>
            </w:pPr>
            <w:r>
              <w:t xml:space="preserve">Deductible up to $545 (2024), $590 (2025), $615 (2026), $700 (2027); OOP cap $2,000 (2025), $2,100 (2026), $2,400 (2027)</w:t>
            </w:r>
          </w:p>
        </w:tc>
        <w:tc>
          <w:tcPr/>
          <w:p>
            <w:pPr>
              <w:pStyle w:val="Compact"/>
              <w:jc w:val="left"/>
            </w:pPr>
            <w:r>
              <w:t xml:space="preserve">Enhanced Part D and $0 deductible chosen over basic signals expected Rx use; MA-only (no Part D) signals VA or employer drug coverage</w:t>
            </w:r>
          </w:p>
        </w:tc>
      </w:tr>
      <w:tr>
        <w:tc>
          <w:tcPr/>
          <w:p>
            <w:pPr>
              <w:pStyle w:val="Compact"/>
              <w:jc w:val="left"/>
            </w:pPr>
            <w:r>
              <w:t xml:space="preserve">Insulin and tier 1</w:t>
            </w:r>
          </w:p>
        </w:tc>
        <w:tc>
          <w:tcPr/>
          <w:p>
            <w:pPr>
              <w:pStyle w:val="Compact"/>
              <w:jc w:val="left"/>
            </w:pPr>
            <w:r>
              <w:t xml:space="preserve">PBP Rx</w:t>
            </w:r>
          </w:p>
        </w:tc>
        <w:tc>
          <w:tcPr/>
          <w:p>
            <w:pPr>
              <w:pStyle w:val="Compact"/>
              <w:jc w:val="left"/>
            </w:pPr>
            <w:r>
              <w:t xml:space="preserve">$35 insulin cap all years; UHC $0 tier 1 for nearly all members in 2027</w:t>
            </w:r>
          </w:p>
        </w:tc>
        <w:tc>
          <w:tcPr/>
          <w:p>
            <w:pPr>
              <w:pStyle w:val="Compact"/>
              <w:jc w:val="left"/>
            </w:pPr>
            <w:r>
              <w:t xml:space="preserve">Weak alone; combine with C-SNP diabetes flag</w:t>
            </w:r>
          </w:p>
        </w:tc>
      </w:tr>
      <w:tr>
        <w:tc>
          <w:tcPr/>
          <w:p>
            <w:pPr>
              <w:pStyle w:val="Compact"/>
              <w:jc w:val="left"/>
            </w:pPr>
            <w:r>
              <w:t xml:space="preserve">Dental, vision, hearing</w:t>
            </w:r>
          </w:p>
        </w:tc>
        <w:tc>
          <w:tcPr/>
          <w:p>
            <w:pPr>
              <w:pStyle w:val="Compact"/>
              <w:jc w:val="left"/>
            </w:pPr>
            <w:r>
              <w:t xml:space="preserve">PBP B16, B17, B18</w:t>
            </w:r>
          </w:p>
        </w:tc>
        <w:tc>
          <w:tcPr/>
          <w:p>
            <w:pPr>
              <w:pStyle w:val="Compact"/>
              <w:jc w:val="left"/>
            </w:pPr>
            <w:r>
              <w:t xml:space="preserve">98%, 99%, 98% of individual plans in 2026</w:t>
            </w:r>
          </w:p>
        </w:tc>
        <w:tc>
          <w:tcPr/>
          <w:p>
            <w:pPr>
              <w:pStyle w:val="Compact"/>
              <w:jc w:val="left"/>
            </w:pPr>
            <w:r>
              <w:t xml:space="preserve">Near-universal; the allowance amount, not presence, carries signal</w:t>
            </w:r>
          </w:p>
        </w:tc>
      </w:tr>
      <w:tr>
        <w:tc>
          <w:tcPr/>
          <w:p>
            <w:pPr>
              <w:pStyle w:val="Compact"/>
              <w:jc w:val="left"/>
            </w:pPr>
            <w:r>
              <w:t xml:space="preserve">OTC, healthy food, utilities (flex/UCard)</w:t>
            </w:r>
          </w:p>
        </w:tc>
        <w:tc>
          <w:tcPr/>
          <w:p>
            <w:pPr>
              <w:pStyle w:val="Compact"/>
              <w:jc w:val="left"/>
            </w:pPr>
            <w:r>
              <w:t xml:space="preserve">PBP B13 and SSBCI B13i; Landscape SSBCI flags</w:t>
            </w:r>
          </w:p>
        </w:tc>
        <w:tc>
          <w:tcPr/>
          <w:p>
            <w:pPr>
              <w:pStyle w:val="Compact"/>
              <w:jc w:val="left"/>
            </w:pPr>
            <w:r>
              <w:t xml:space="preserve">OTC on 66% of individual plans in 2026 (73% in 2025), 94% of SNPs; from 2026 SSBCI food and utilities need a documented chronic condition</w:t>
            </w:r>
          </w:p>
        </w:tc>
        <w:tc>
          <w:tcPr/>
          <w:p>
            <w:pPr>
              <w:pStyle w:val="Compact"/>
              <w:jc w:val="left"/>
            </w:pPr>
            <w:r>
              <w:t xml:space="preserve">A rich OTC/flex card is how D-SNPs compete; a member choosing the richest card is signalling need</w:t>
            </w:r>
          </w:p>
        </w:tc>
      </w:tr>
      <w:tr>
        <w:tc>
          <w:tcPr/>
          <w:p>
            <w:pPr>
              <w:pStyle w:val="Compact"/>
              <w:jc w:val="left"/>
            </w:pPr>
            <w:r>
              <w:t xml:space="preserve">Meals, transportation</w:t>
            </w:r>
          </w:p>
        </w:tc>
        <w:tc>
          <w:tcPr/>
          <w:p>
            <w:pPr>
              <w:pStyle w:val="Compact"/>
              <w:jc w:val="left"/>
            </w:pPr>
            <w:r>
              <w:t xml:space="preserve">PBP B13c, B10b</w:t>
            </w:r>
          </w:p>
        </w:tc>
        <w:tc>
          <w:tcPr/>
          <w:p>
            <w:pPr>
              <w:pStyle w:val="Compact"/>
              <w:jc w:val="left"/>
            </w:pPr>
            <w:r>
              <w:t xml:space="preserve">Meals 57%, transportation 24% of individual plans in 2026, both falling</w:t>
            </w:r>
          </w:p>
        </w:tc>
        <w:tc>
          <w:tcPr/>
          <w:p>
            <w:pPr>
              <w:pStyle w:val="Compact"/>
              <w:jc w:val="left"/>
            </w:pPr>
            <w:r>
              <w:t xml:space="preserve">Post-discharge meals and transport are frailty-adjacent benefits</w:t>
            </w:r>
          </w:p>
        </w:tc>
      </w:tr>
      <w:tr>
        <w:tc>
          <w:tcPr/>
          <w:p>
            <w:pPr>
              <w:pStyle w:val="Compact"/>
              <w:jc w:val="left"/>
            </w:pPr>
            <w:r>
              <w:t xml:space="preserve">Optional supplemental benefits (OSB)</w:t>
            </w:r>
          </w:p>
        </w:tc>
        <w:tc>
          <w:tcPr/>
          <w:p>
            <w:pPr>
              <w:pStyle w:val="Compact"/>
              <w:jc w:val="left"/>
            </w:pPr>
            <w:r>
              <w:t xml:space="preserve">PBP Section D optional packages</w:t>
            </w:r>
          </w:p>
        </w:tc>
        <w:tc>
          <w:tcPr/>
          <w:p>
            <w:pPr>
              <w:pStyle w:val="Compact"/>
              <w:jc w:val="left"/>
            </w:pPr>
            <w:r>
              <w:t xml:space="preserve">Dental riders, premium-bearing</w:t>
            </w:r>
          </w:p>
        </w:tc>
        <w:tc>
          <w:tcPr/>
          <w:p>
            <w:pPr>
              <w:pStyle w:val="Compact"/>
              <w:jc w:val="left"/>
            </w:pPr>
            <w:r>
              <w:t xml:space="preserve">Self-selected purchase; strong revealed preference</w:t>
            </w:r>
          </w:p>
        </w:tc>
      </w:tr>
      <w:tr>
        <w:tc>
          <w:tcPr/>
          <w:p>
            <w:pPr>
              <w:pStyle w:val="Compact"/>
              <w:jc w:val="left"/>
            </w:pPr>
            <w:r>
              <w:t xml:space="preserve">Network size and tier</w:t>
            </w:r>
          </w:p>
        </w:tc>
        <w:tc>
          <w:tcPr/>
          <w:p>
            <w:pPr>
              <w:pStyle w:val="Compact"/>
              <w:jc w:val="left"/>
            </w:pPr>
            <w:r>
              <w:t xml:space="preserve">PBP Section A, provider directory</w:t>
            </w:r>
          </w:p>
        </w:tc>
        <w:tc>
          <w:tcPr/>
          <w:p>
            <w:pPr>
              <w:pStyle w:val="Compact"/>
              <w:jc w:val="left"/>
            </w:pPr>
            <w:r>
              <w:t xml:space="preserve">UHC ~1M providers; HMO network narrower</w:t>
            </w:r>
          </w:p>
        </w:tc>
        <w:tc>
          <w:tcPr/>
          <w:p>
            <w:pPr>
              <w:pStyle w:val="Compact"/>
              <w:jc w:val="left"/>
            </w:pPr>
            <w:r>
              <w:t xml:space="preserve">Narrower network accepted means fewer existing provider ties</w:t>
            </w:r>
          </w:p>
        </w:tc>
      </w:tr>
    </w:tbl>
    <w:p>
      <w:pPr>
        <w:pStyle w:val="BodyText"/>
      </w:pPr>
      <w:r>
        <w:rPr>
          <w:bCs/>
          <w:b/>
        </w:rPr>
        <w:t xml:space="preserve">UCard.</w:t>
      </w:r>
      <w:r>
        <w:t xml:space="preserve"> </w:t>
      </w:r>
      <w:r>
        <w:t xml:space="preserve">UHC’s single card for member ID, OTC, healthy food, utility credits and rewards. In 2024 it had 6.3M+ users and $3B+ spent; for 2027 it splits from the member ID card, moves to Mastercard rails, and adds real-time utility payments for qualifying D-SNP members at 70,000+ retail locations. The healthy food and utilities benefit is limited to chronically ill enrollees who meet high-risk, care-coordination criteria. UCard transaction data, where available to the model after enrollment, is an early engagement signal that arrives before medical claims.</w:t>
      </w:r>
    </w:p>
    <w:p>
      <w:pPr>
        <w:pStyle w:val="BodyText"/>
      </w:pPr>
      <w:r>
        <w:rPr>
          <w:bCs/>
          <w:b/>
        </w:rPr>
        <w:t xml:space="preserve">SSBCI and VBID.</w:t>
      </w:r>
      <w:r>
        <w:t xml:space="preserve"> </w:t>
      </w:r>
      <w:r>
        <w:t xml:space="preserve">Special Supplemental Benefits for the Chronically Ill (food, utilities, general supports for living) require a chronic condition; from January 2026 SNP members must have a documented, provider-validated qualifying condition to use them, and from 2027 eligibility must use objective criteria with no self-attestation (CMS CY2027 final rule; UHC provider notice). So an SSBCI eligibility flag on a member is itself a verified diagnosis signal. The VBID model, which let plans target Part D cost-sharing cuts by condition or LIS status, ended December 31, 2025; 2024 and 2025 cohorts may carry VBID-targeted benefits that 2026 and 2027 cohorts do not.</w:t>
      </w:r>
    </w:p>
    <w:p>
      <w:pPr>
        <w:pStyle w:val="BodyText"/>
      </w:pPr>
      <w:r>
        <w:rPr>
          <w:bCs/>
          <w:b/>
        </w:rPr>
        <w:t xml:space="preserve">Encoding rule.</w:t>
      </w:r>
      <w:r>
        <w:t xml:space="preserve"> </w:t>
      </w:r>
      <w:r>
        <w:t xml:space="preserve">For every numeric dimension, store both the raw value and its rank among plans offered in the member’s county and plan year (from the Landscape file):</w:t>
      </w:r>
      <w:r>
        <w:t xml:space="preserve"> </w:t>
      </w:r>
      <w:r>
        <w:rPr>
          <w:rStyle w:val="VerbatimChar"/>
        </w:rPr>
        <w:t xml:space="preserve">premium_rank_in_county</w:t>
      </w:r>
      <w:r>
        <w:t xml:space="preserve">,</w:t>
      </w:r>
      <w:r>
        <w:t xml:space="preserve"> </w:t>
      </w:r>
      <w:r>
        <w:rPr>
          <w:rStyle w:val="VerbatimChar"/>
        </w:rPr>
        <w:t xml:space="preserve">moop_rank_in_county</w:t>
      </w:r>
      <w:r>
        <w:t xml:space="preserve">,</w:t>
      </w:r>
      <w:r>
        <w:t xml:space="preserve"> </w:t>
      </w:r>
      <w:r>
        <w:rPr>
          <w:rStyle w:val="VerbatimChar"/>
        </w:rPr>
        <w:t xml:space="preserve">moop_minus_county_min</w:t>
      </w:r>
      <w:r>
        <w:t xml:space="preserve">. For every flag, store it as is plus the share of county plans that offer it. This keeps features comparable as benefits drift across 2024 to 2027.</w:t>
      </w:r>
    </w:p>
    <w:bookmarkEnd w:id="24"/>
    <w:bookmarkStart w:id="25" w:name="plan-year-2024"/>
    <w:p>
      <w:pPr>
        <w:pStyle w:val="Heading1"/>
      </w:pPr>
      <w:r>
        <w:t xml:space="preserve">Plan year 2024</w:t>
      </w:r>
    </w:p>
    <w:p>
      <w:pPr>
        <w:pStyle w:val="FirstParagraph"/>
      </w:pPr>
      <w:r>
        <w:t xml:space="preserve">2024 was UHC’s peak-reach year: plans available to 96% of Medicare consumers across 2,804 counties, with growth still the strategy and the V28 risk model only one-third phased in.</w:t>
      </w:r>
    </w:p>
    <w:p>
      <w:pPr>
        <w:pStyle w:val="BodyText"/>
      </w:pPr>
      <w:r>
        <w:rPr>
          <w:bCs/>
          <w:b/>
        </w:rPr>
        <w:t xml:space="preserve">UHC footprint and products</w:t>
      </w:r>
    </w:p>
    <w:p>
      <w:pPr>
        <w:numPr>
          <w:ilvl w:val="0"/>
          <w:numId w:val="1002"/>
        </w:numPr>
        <w:pStyle w:val="Compact"/>
      </w:pPr>
      <w:r>
        <w:t xml:space="preserve">Plans available to 96% of all Medicare consumers; 110 new counties added, giving 700,000 more people access to standard MA plans (UHC 2024 announcement).</w:t>
      </w:r>
    </w:p>
    <w:p>
      <w:pPr>
        <w:numPr>
          <w:ilvl w:val="0"/>
          <w:numId w:val="1002"/>
        </w:numPr>
        <w:pStyle w:val="Compact"/>
      </w:pPr>
      <w:r>
        <w:t xml:space="preserve">2,804 counties, up 95 from 2023, about 87% of US counties (Becker’s; KFF 2024 spotlight).</w:t>
      </w:r>
    </w:p>
    <w:p>
      <w:pPr>
        <w:numPr>
          <w:ilvl w:val="0"/>
          <w:numId w:val="1002"/>
        </w:numPr>
        <w:pStyle w:val="Compact"/>
      </w:pPr>
      <w:r>
        <w:t xml:space="preserve">C-SNP expansion: 2.7M more people eligible, 23M reachable in total.</w:t>
      </w:r>
    </w:p>
    <w:p>
      <w:pPr>
        <w:numPr>
          <w:ilvl w:val="0"/>
          <w:numId w:val="1002"/>
        </w:numPr>
        <w:pStyle w:val="Compact"/>
      </w:pPr>
      <w:r>
        <w:t xml:space="preserve">UCard: 6.3M+ members, 66M+ transactions, $3B+ spent, 55,000+ retail locations.</w:t>
      </w:r>
    </w:p>
    <w:p>
      <w:pPr>
        <w:numPr>
          <w:ilvl w:val="0"/>
          <w:numId w:val="1002"/>
        </w:numPr>
        <w:pStyle w:val="Compact"/>
      </w:pPr>
      <w:r>
        <w:t xml:space="preserve">Dental with no deductible and $0 preventive; OTC hearing-aid coverage added; $35 insulin on standard plans and $25 or less on C-SNPs; 100-day supplies on tiers 1 to 4.</w:t>
      </w:r>
    </w:p>
    <w:p>
      <w:pPr>
        <w:numPr>
          <w:ilvl w:val="0"/>
          <w:numId w:val="1002"/>
        </w:numPr>
        <w:pStyle w:val="Compact"/>
      </w:pPr>
      <w:r>
        <w:t xml:space="preserve">Some AARP co-branded, MedicareDirect and D-SNP plans discontinued; UHC said only a small percentage of members were affected (Becker’s).</w:t>
      </w:r>
    </w:p>
    <w:p>
      <w:pPr>
        <w:numPr>
          <w:ilvl w:val="0"/>
          <w:numId w:val="1002"/>
        </w:numPr>
        <w:pStyle w:val="Compact"/>
      </w:pPr>
      <w:r>
        <w:t xml:space="preserve">UHC MA members (UHG</w:t>
      </w:r>
      <w:r>
        <w:t xml:space="preserve"> </w:t>
      </w:r>
      <w:r>
        <w:t xml:space="preserve">“</w:t>
      </w:r>
      <w:r>
        <w:t xml:space="preserve">people served</w:t>
      </w:r>
      <w:r>
        <w:t xml:space="preserve">”</w:t>
      </w:r>
      <w:r>
        <w:t xml:space="preserve">): 7.695M at end of 2023, 7.845M at end of 2024 (UHG Q4 2024 8-K). KFF measured UHC at 29% of MA enrollment.</w:t>
      </w:r>
    </w:p>
    <w:p>
      <w:pPr>
        <w:pStyle w:val="FirstParagraph"/>
      </w:pPr>
      <w:r>
        <w:rPr>
          <w:bCs/>
          <w:b/>
        </w:rPr>
        <w:t xml:space="preserve">CMS context</w:t>
      </w:r>
    </w:p>
    <w:p>
      <w:pPr>
        <w:numPr>
          <w:ilvl w:val="0"/>
          <w:numId w:val="1003"/>
        </w:numPr>
        <w:pStyle w:val="Compact"/>
      </w:pPr>
      <w:r>
        <w:t xml:space="preserve">Final 2024 rate announcement: +3.32% average payment change; V28 blended 33% with the 2020 model (67%); risk model revision and normalization impact -2.16% (CMS; McDermott).</w:t>
      </w:r>
    </w:p>
    <w:p>
      <w:pPr>
        <w:numPr>
          <w:ilvl w:val="0"/>
          <w:numId w:val="1003"/>
        </w:numPr>
        <w:pStyle w:val="Compact"/>
      </w:pPr>
      <w:r>
        <w:t xml:space="preserve">Normalization factors: 2024 CMS-HCC 1.015, 2020 CMS-HCC 1.146 (CMS 2024 announcement).</w:t>
      </w:r>
    </w:p>
    <w:p>
      <w:pPr>
        <w:numPr>
          <w:ilvl w:val="0"/>
          <w:numId w:val="1003"/>
        </w:numPr>
        <w:pStyle w:val="Compact"/>
      </w:pPr>
      <w:r>
        <w:t xml:space="preserve">Average MA premium $18.50; projected enrollment 33.8M, about 50% of Medicare (CMS). KFF: 32.8M enrolled, 54% of eligibles; 3,959 individual plans; SNPs 1,333 (851 D, 309 C, 173 I).</w:t>
      </w:r>
    </w:p>
    <w:p>
      <w:pPr>
        <w:numPr>
          <w:ilvl w:val="0"/>
          <w:numId w:val="1003"/>
        </w:numPr>
        <w:pStyle w:val="Compact"/>
      </w:pPr>
      <w:r>
        <w:t xml:space="preserve">Part D: deductible $545, initial coverage limit $5,030, catastrophic threshold $8,000 TrOOP with the 5% catastrophic coinsurance removed; full LIS extended to 150% FPL (KFF).</w:t>
      </w:r>
    </w:p>
    <w:p>
      <w:pPr>
        <w:numPr>
          <w:ilvl w:val="0"/>
          <w:numId w:val="1003"/>
        </w:numPr>
        <w:pStyle w:val="Compact"/>
      </w:pPr>
      <w:r>
        <w:t xml:space="preserve">Dual/LIS SEP still quarterly (one MA change per quarter, January to September); the last quarterly use was September 2024.</w:t>
      </w:r>
    </w:p>
    <w:p>
      <w:pPr>
        <w:numPr>
          <w:ilvl w:val="0"/>
          <w:numId w:val="1003"/>
        </w:numPr>
        <w:pStyle w:val="Compact"/>
      </w:pPr>
      <w:r>
        <w:t xml:space="preserve">Broker compensation: national FMV $611 initial; CMS’s attempt to fold administrative payments into a fixed fee was stayed by a Texas court in July 2024.</w:t>
      </w:r>
    </w:p>
    <w:p>
      <w:pPr>
        <w:pStyle w:val="FirstParagraph"/>
      </w:pPr>
      <w:r>
        <w:rPr>
          <w:bCs/>
          <w:b/>
        </w:rPr>
        <w:t xml:space="preserve">Modeling implications for 2024 cohorts</w:t>
      </w:r>
    </w:p>
    <w:p>
      <w:pPr>
        <w:numPr>
          <w:ilvl w:val="0"/>
          <w:numId w:val="1004"/>
        </w:numPr>
        <w:pStyle w:val="Compact"/>
      </w:pPr>
      <w:r>
        <w:t xml:space="preserve">The widest PPO mix of the four years; many 2024 PPO members were later moved or non-renewed, so 2024 PPO enrollees are over-represented among 2025 to 2027 involuntary switchers.</w:t>
      </w:r>
    </w:p>
    <w:p>
      <w:pPr>
        <w:numPr>
          <w:ilvl w:val="0"/>
          <w:numId w:val="1004"/>
        </w:numPr>
        <w:pStyle w:val="Compact"/>
      </w:pPr>
      <w:r>
        <w:t xml:space="preserve">Part D exposure was still bounded by the old gap structure; 2024 Rx cost labels are not comparable with 2025+ without adjustment.</w:t>
      </w:r>
    </w:p>
    <w:p>
      <w:pPr>
        <w:numPr>
          <w:ilvl w:val="0"/>
          <w:numId w:val="1004"/>
        </w:numPr>
        <w:pStyle w:val="Compact"/>
      </w:pPr>
      <w:r>
        <w:t xml:space="preserve">New-enrollee RAF for 2024 was computed under the blended model; the demographic factors differ slightly from 2026+.</w:t>
      </w:r>
    </w:p>
    <w:bookmarkEnd w:id="25"/>
    <w:bookmarkStart w:id="26" w:name="plan-year-2025"/>
    <w:p>
      <w:pPr>
        <w:pStyle w:val="Heading1"/>
      </w:pPr>
      <w:r>
        <w:t xml:space="preserve">Plan year 2025</w:t>
      </w:r>
    </w:p>
    <w:p>
      <w:pPr>
        <w:pStyle w:val="FirstParagraph"/>
      </w:pPr>
      <w:r>
        <w:t xml:space="preserve">2025 brought the Part D $2,000 cap, the switch to monthly dual/LIS SEPs, and UHC’s first visible PPO pullback (250,000+ members in plans not offered), while reach held at 96% and the SNP footprint kept growing.</w:t>
      </w:r>
    </w:p>
    <w:p>
      <w:pPr>
        <w:pStyle w:val="BodyText"/>
      </w:pPr>
      <w:r>
        <w:rPr>
          <w:bCs/>
          <w:b/>
        </w:rPr>
        <w:t xml:space="preserve">UHC footprint and products</w:t>
      </w:r>
    </w:p>
    <w:p>
      <w:pPr>
        <w:numPr>
          <w:ilvl w:val="0"/>
          <w:numId w:val="1005"/>
        </w:numPr>
        <w:pStyle w:val="Compact"/>
      </w:pPr>
      <w:r>
        <w:t xml:space="preserve">Plans reach 96% of Medicare consumers; 140 new MA plan options (UHC 2025 announcement).</w:t>
      </w:r>
    </w:p>
    <w:p>
      <w:pPr>
        <w:numPr>
          <w:ilvl w:val="0"/>
          <w:numId w:val="1005"/>
        </w:numPr>
        <w:pStyle w:val="Compact"/>
      </w:pPr>
      <w:r>
        <w:t xml:space="preserve">2,808 counties (entered 42, exited 38); 381 counties with more plans, 693 with fewer (TechTarget; KFF 2025 spotlight).</w:t>
      </w:r>
    </w:p>
    <w:p>
      <w:pPr>
        <w:numPr>
          <w:ilvl w:val="0"/>
          <w:numId w:val="1005"/>
        </w:numPr>
        <w:pStyle w:val="Compact"/>
      </w:pPr>
      <w:r>
        <w:t xml:space="preserve">D-SNP available to 93% of duals, reaching 135,000 more; C-SNP footprint nearly doubled to 70% of eligibles.</w:t>
      </w:r>
    </w:p>
    <w:p>
      <w:pPr>
        <w:numPr>
          <w:ilvl w:val="0"/>
          <w:numId w:val="1005"/>
        </w:numPr>
        <w:pStyle w:val="Compact"/>
      </w:pPr>
      <w:r>
        <w:t xml:space="preserve">New plan designs: a quarterly credit toward Part A/B out-of-pocket costs;</w:t>
      </w:r>
      <w:r>
        <w:t xml:space="preserve"> </w:t>
      </w:r>
      <w:r>
        <w:t xml:space="preserve">“</w:t>
      </w:r>
      <w:r>
        <w:t xml:space="preserve">medical-emphasis</w:t>
      </w:r>
      <w:r>
        <w:t xml:space="preserve">”</w:t>
      </w:r>
      <w:r>
        <w:t xml:space="preserve"> </w:t>
      </w:r>
      <w:r>
        <w:t xml:space="preserve">vs</w:t>
      </w:r>
      <w:r>
        <w:t xml:space="preserve"> </w:t>
      </w:r>
      <w:r>
        <w:t xml:space="preserve">“</w:t>
      </w:r>
      <w:r>
        <w:t xml:space="preserve">ancillary-emphasis</w:t>
      </w:r>
      <w:r>
        <w:t xml:space="preserve">”</w:t>
      </w:r>
      <w:r>
        <w:t xml:space="preserve"> </w:t>
      </w:r>
      <w:r>
        <w:t xml:space="preserve">designs in select markets (Becker’s).</w:t>
      </w:r>
    </w:p>
    <w:p>
      <w:pPr>
        <w:numPr>
          <w:ilvl w:val="0"/>
          <w:numId w:val="1005"/>
        </w:numPr>
        <w:pStyle w:val="Compact"/>
      </w:pPr>
      <w:r>
        <w:t xml:space="preserve">UCard moved from barcode to magstripe; 71M+ transactions and $3.3B+ spent year to date.</w:t>
      </w:r>
    </w:p>
    <w:p>
      <w:pPr>
        <w:numPr>
          <w:ilvl w:val="0"/>
          <w:numId w:val="1005"/>
        </w:numPr>
        <w:pStyle w:val="Compact"/>
      </w:pPr>
      <w:r>
        <w:t xml:space="preserve">Exits: 250,000+ UHC members in 2024 plans not offered in 2025, about 185,000 of them in PPOs; about 30,000 PPO members in 38 counties had no UHC PPO alternative (Oliver Wyman).</w:t>
      </w:r>
    </w:p>
    <w:p>
      <w:pPr>
        <w:numPr>
          <w:ilvl w:val="0"/>
          <w:numId w:val="1005"/>
        </w:numPr>
        <w:pStyle w:val="Compact"/>
      </w:pPr>
      <w:r>
        <w:t xml:space="preserve">Enrollment: CMS counts show UHC at 9.92M in February 2025 (+4.0%); KFF 9.9M, 29% share, +504,542 (Becker’s; TechTarget). UHG year-end 2025: 8.4M MA, 4.3M Med Supp, 2.8M PDP.</w:t>
      </w:r>
    </w:p>
    <w:p>
      <w:pPr>
        <w:pStyle w:val="FirstParagraph"/>
      </w:pPr>
      <w:r>
        <w:rPr>
          <w:bCs/>
          <w:b/>
        </w:rPr>
        <w:t xml:space="preserve">CMS context</w:t>
      </w:r>
    </w:p>
    <w:p>
      <w:pPr>
        <w:numPr>
          <w:ilvl w:val="0"/>
          <w:numId w:val="1006"/>
        </w:numPr>
        <w:pStyle w:val="Compact"/>
      </w:pPr>
      <w:r>
        <w:t xml:space="preserve">Final 2025 rate announcement: +3.70%; V28 at 67%; risk model and normalization -2.45%; normalization 1.045 (V28) and 1.153 (V24) (CMS).</w:t>
      </w:r>
    </w:p>
    <w:p>
      <w:pPr>
        <w:numPr>
          <w:ilvl w:val="0"/>
          <w:numId w:val="1006"/>
        </w:numPr>
        <w:pStyle w:val="Compact"/>
      </w:pPr>
      <w:r>
        <w:t xml:space="preserve">Average MA premium $17.00; about 60% of enrollees at $0; 5,633 total MA plans; KFF 3,719 individual plans (-6%), SNPs 1,445 (909 D, 376 C, 160 I); 34.1M enrolled, 54% of eligibles.</w:t>
      </w:r>
    </w:p>
    <w:p>
      <w:pPr>
        <w:numPr>
          <w:ilvl w:val="0"/>
          <w:numId w:val="1006"/>
        </w:numPr>
        <w:pStyle w:val="Compact"/>
      </w:pPr>
      <w:r>
        <w:t xml:space="preserve">Part D redesign: deductible $590, OOP cap $2,000, coverage gap eliminated, Medicare Prescription Payment Plan starts, plans pay 60% in catastrophic (Thomson Reuters; KFF).</w:t>
      </w:r>
    </w:p>
    <w:p>
      <w:pPr>
        <w:numPr>
          <w:ilvl w:val="0"/>
          <w:numId w:val="1006"/>
        </w:numPr>
        <w:pStyle w:val="Compact"/>
      </w:pPr>
      <w:r>
        <w:t xml:space="preserve">SEP change: quarterly dual/LIS SEP replaced by a monthly SEP to leave MA for Original Medicare plus PDP, and a monthly Integrated Care SEP for full-benefit duals to join an aligned FIDE, HIDE or AIP D-SNP (Justice in Aging).</w:t>
      </w:r>
    </w:p>
    <w:p>
      <w:pPr>
        <w:numPr>
          <w:ilvl w:val="0"/>
          <w:numId w:val="1006"/>
        </w:numPr>
        <w:pStyle w:val="Compact"/>
      </w:pPr>
      <w:r>
        <w:t xml:space="preserve">D-SNP look-alike threshold tightened to 70% duals for 2025; SSBCI must be evidence-backed; mid-year unused-benefit notices required (June 30 to July 31) (CMS CY2025 final rule).</w:t>
      </w:r>
    </w:p>
    <w:p>
      <w:pPr>
        <w:numPr>
          <w:ilvl w:val="0"/>
          <w:numId w:val="1006"/>
        </w:numPr>
        <w:pStyle w:val="Compact"/>
      </w:pPr>
      <w:r>
        <w:t xml:space="preserve">Broker FMV: $626 initial, $313 renewal national; CMS’s fixed-fee rule stayed, then vacated in August 2025, so FMO administrative payments continued.</w:t>
      </w:r>
    </w:p>
    <w:p>
      <w:pPr>
        <w:numPr>
          <w:ilvl w:val="0"/>
          <w:numId w:val="1006"/>
        </w:numPr>
        <w:pStyle w:val="Compact"/>
      </w:pPr>
      <w:r>
        <w:t xml:space="preserve">VBID: hospice component ended December 31, 2024; model termination announced for end of 2025.</w:t>
      </w:r>
    </w:p>
    <w:p>
      <w:pPr>
        <w:pStyle w:val="FirstParagraph"/>
      </w:pPr>
      <w:r>
        <w:rPr>
          <w:bCs/>
          <w:b/>
        </w:rPr>
        <w:t xml:space="preserve">Modeling implications for 2025 cohorts</w:t>
      </w:r>
    </w:p>
    <w:p>
      <w:pPr>
        <w:numPr>
          <w:ilvl w:val="0"/>
          <w:numId w:val="1007"/>
        </w:numPr>
        <w:pStyle w:val="Compact"/>
      </w:pPr>
      <w:r>
        <w:t xml:space="preserve">The Part D cap changes who hits catastrophic; Rx cost labels jump for high-Rx members and plan liability rises, so 2025+ Rx labels are on a different scale from 2024.</w:t>
      </w:r>
    </w:p>
    <w:p>
      <w:pPr>
        <w:numPr>
          <w:ilvl w:val="0"/>
          <w:numId w:val="1007"/>
        </w:numPr>
        <w:pStyle w:val="Compact"/>
      </w:pPr>
      <w:r>
        <w:t xml:space="preserve">Integrated Care SEP enrollees are, by construction, full-benefit duals with an aligned Medicaid MCO: a clean high-risk flag that did not exist in 2024.</w:t>
      </w:r>
    </w:p>
    <w:p>
      <w:pPr>
        <w:numPr>
          <w:ilvl w:val="0"/>
          <w:numId w:val="1007"/>
        </w:numPr>
        <w:pStyle w:val="Compact"/>
      </w:pPr>
      <w:r>
        <w:t xml:space="preserve">Members whose 2024 plan was non-renewed and who re-enrolled with UHC in 2025 are not new members; use the crosswalk to tag them.</w:t>
      </w:r>
    </w:p>
    <w:bookmarkEnd w:id="26"/>
    <w:bookmarkStart w:id="27" w:name="plan-year-2026"/>
    <w:p>
      <w:pPr>
        <w:pStyle w:val="Heading1"/>
      </w:pPr>
      <w:r>
        <w:t xml:space="preserve">Plan year 2026</w:t>
      </w:r>
    </w:p>
    <w:p>
      <w:pPr>
        <w:pStyle w:val="FirstParagraph"/>
      </w:pPr>
      <w:r>
        <w:t xml:space="preserve">2026 is the reset year: UHC cut 100+ plans across 16 markets affecting about 600,000 members, exited 109 counties outright, dropped to 94% reach and 2,597 counties, and lost roughly 915,000 MA members between December 2025 and February 2026, while V28 reached 100% and the Part D cap rose to $2,100.</w:t>
      </w:r>
    </w:p>
    <w:p>
      <w:pPr>
        <w:pStyle w:val="BodyText"/>
      </w:pPr>
      <w:r>
        <w:rPr>
          <w:bCs/>
          <w:b/>
        </w:rPr>
        <w:t xml:space="preserve">UHC footprint and products</w:t>
      </w:r>
    </w:p>
    <w:p>
      <w:pPr>
        <w:numPr>
          <w:ilvl w:val="0"/>
          <w:numId w:val="1008"/>
        </w:numPr>
        <w:pStyle w:val="Compact"/>
      </w:pPr>
      <w:r>
        <w:t xml:space="preserve">Plans available to 94% of eligibles (from 96%); HMO available to 92%; most beneficiaries keep a $0 premium option (UHC 2026 announcement).</w:t>
      </w:r>
    </w:p>
    <w:p>
      <w:pPr>
        <w:numPr>
          <w:ilvl w:val="0"/>
          <w:numId w:val="1008"/>
        </w:numPr>
        <w:pStyle w:val="Compact"/>
      </w:pPr>
      <w:r>
        <w:t xml:space="preserve">D-SNP available to nearly 80% of duals, with a combined OTC, healthy food and utilities credit; 25% of D-SNP members pay $0 on all covered Rx. C-SNP eligible population 46M+.</w:t>
      </w:r>
      <w:r>
        <w:t xml:space="preserve"> </w:t>
      </w:r>
      <w:r>
        <w:t xml:space="preserve">“</w:t>
      </w:r>
      <w:r>
        <w:t xml:space="preserve">Essentials</w:t>
      </w:r>
      <w:r>
        <w:t xml:space="preserve">”</w:t>
      </w:r>
      <w:r>
        <w:t xml:space="preserve"> </w:t>
      </w:r>
      <w:r>
        <w:t xml:space="preserve">and</w:t>
      </w:r>
      <w:r>
        <w:t xml:space="preserve"> </w:t>
      </w:r>
      <w:r>
        <w:t xml:space="preserve">“</w:t>
      </w:r>
      <w:r>
        <w:t xml:space="preserve">Extras</w:t>
      </w:r>
      <w:r>
        <w:t xml:space="preserve">”</w:t>
      </w:r>
      <w:r>
        <w:t xml:space="preserve"> </w:t>
      </w:r>
      <w:r>
        <w:t xml:space="preserve">plan designs reach about 20M eligibles.</w:t>
      </w:r>
    </w:p>
    <w:p>
      <w:pPr>
        <w:numPr>
          <w:ilvl w:val="0"/>
          <w:numId w:val="1008"/>
        </w:numPr>
        <w:pStyle w:val="Compact"/>
      </w:pPr>
      <w:r>
        <w:t xml:space="preserve">Exits: 100+ plans dropped across 16 markets, about 600,000 members in discontinued plans, mostly PPOs; 109 counties fully exited, about 180,000 members with no UHC MA option; non-renewal notices dated October 2, 2025 (Fierce; Reuters).</w:t>
      </w:r>
    </w:p>
    <w:p>
      <w:pPr>
        <w:numPr>
          <w:ilvl w:val="0"/>
          <w:numId w:val="1008"/>
        </w:numPr>
        <w:pStyle w:val="Compact"/>
      </w:pPr>
      <w:r>
        <w:t xml:space="preserve">Footprint 2,597 counties (-211), about 80% of counties; exited 225, entered 14 (KFF 2026 spotlight).</w:t>
      </w:r>
    </w:p>
    <w:p>
      <w:pPr>
        <w:numPr>
          <w:ilvl w:val="0"/>
          <w:numId w:val="1008"/>
        </w:numPr>
        <w:pStyle w:val="Compact"/>
      </w:pPr>
      <w:r>
        <w:t xml:space="preserve">Pricing assumed about 10% medical cost trend (vs 7.5% actual in 2025); OTC allowances cut (Becker’s).</w:t>
      </w:r>
    </w:p>
    <w:p>
      <w:pPr>
        <w:numPr>
          <w:ilvl w:val="0"/>
          <w:numId w:val="1008"/>
        </w:numPr>
        <w:pStyle w:val="Compact"/>
      </w:pPr>
      <w:r>
        <w:t xml:space="preserve">Enrollment: CMS counts UHC 10.3M (December 2025) to 9.4M (February 2026), -915,000 or about 9%; KFF: individual -582,000, group -219,000, SNP +267,000; by June 2026 UHC at 9.3M and 26% share (Becker’s; KFF). UHG guided a 2026 MA loss of about 1.1M; MA margin target 2% to 4%.</w:t>
      </w:r>
    </w:p>
    <w:p>
      <w:pPr>
        <w:pStyle w:val="FirstParagraph"/>
      </w:pPr>
      <w:r>
        <w:rPr>
          <w:bCs/>
          <w:b/>
        </w:rPr>
        <w:t xml:space="preserve">CMS context</w:t>
      </w:r>
    </w:p>
    <w:p>
      <w:pPr>
        <w:numPr>
          <w:ilvl w:val="0"/>
          <w:numId w:val="1009"/>
        </w:numPr>
        <w:pStyle w:val="Compact"/>
      </w:pPr>
      <w:r>
        <w:t xml:space="preserve">Final 2026 rate announcement: +5.06%; V28 at 100%; risk model and normalization -3.01%; normalization factor 1.067; coding trend 2.10% (CMS).</w:t>
      </w:r>
    </w:p>
    <w:p>
      <w:pPr>
        <w:numPr>
          <w:ilvl w:val="0"/>
          <w:numId w:val="1009"/>
        </w:numPr>
        <w:pStyle w:val="Compact"/>
      </w:pPr>
      <w:r>
        <w:t xml:space="preserve">Average MA premium $14.00; projected enrollment 34M (48%); about 5,600 plans. KFF: 3,373 individual plans (-9%), SNPs 1,721 (+19%: 1,019 D, 548 C, 154 I); 67% of individual MA-PDs at $0; 32% offer Part B giveback; OTC on 66% (73% in 2025); average in-network OOP limit $5,421 (KFF). By June 2026: 35.2M enrolled, 55% of eligibles; SNPs 8.2M, 23% of MA and 85% of net growth.</w:t>
      </w:r>
    </w:p>
    <w:p>
      <w:pPr>
        <w:numPr>
          <w:ilvl w:val="0"/>
          <w:numId w:val="1009"/>
        </w:numPr>
        <w:pStyle w:val="Compact"/>
      </w:pPr>
      <w:r>
        <w:t xml:space="preserve">Part D: deductible $615, OOP threshold $2,100; insulin cap lesser of $35, 25% of MFP or 25% of negotiated price; MPPP auto-renews (CMS 2026 redesign).</w:t>
      </w:r>
    </w:p>
    <w:p>
      <w:pPr>
        <w:numPr>
          <w:ilvl w:val="0"/>
          <w:numId w:val="1009"/>
        </w:numPr>
        <w:pStyle w:val="Compact"/>
      </w:pPr>
      <w:r>
        <w:t xml:space="preserve">Look-alike threshold 60% duals; non-allowable SSBCI codified (non-healthy food, alcohol, tobacco, life insurance); SNP members need a documented chronic condition for SSBCI food and utilities from January 1 (CMS CY2026 final rule).</w:t>
      </w:r>
    </w:p>
    <w:p>
      <w:pPr>
        <w:numPr>
          <w:ilvl w:val="0"/>
          <w:numId w:val="1009"/>
        </w:numPr>
        <w:pStyle w:val="Compact"/>
      </w:pPr>
      <w:r>
        <w:t xml:space="preserve">C-SNP condition categories expand from 15 to 22, adding CKD, obesity/metabolic syndrome, chronic GI, post-transplant, immunodeficiency, cognitive impairment, functional and sensory impairment (Milliman).</w:t>
      </w:r>
    </w:p>
    <w:p>
      <w:pPr>
        <w:numPr>
          <w:ilvl w:val="0"/>
          <w:numId w:val="1009"/>
        </w:numPr>
        <w:pStyle w:val="Compact"/>
      </w:pPr>
      <w:r>
        <w:t xml:space="preserve">VBID terminated December 31, 2025. Broker FMV $694 initial, $347 renewal. 2026 star ratings: average 3.98, about 64% of enrollees in 4+ star contracts; patient-experience weight cut from 4 to 2 (CMS 2026 stars).</w:t>
      </w:r>
    </w:p>
    <w:p>
      <w:pPr>
        <w:pStyle w:val="FirstParagraph"/>
      </w:pPr>
      <w:r>
        <w:rPr>
          <w:bCs/>
          <w:b/>
        </w:rPr>
        <w:t xml:space="preserve">Modeling implications for 2026 cohorts</w:t>
      </w:r>
    </w:p>
    <w:p>
      <w:pPr>
        <w:numPr>
          <w:ilvl w:val="0"/>
          <w:numId w:val="1010"/>
        </w:numPr>
        <w:pStyle w:val="Compact"/>
      </w:pPr>
      <w:r>
        <w:t xml:space="preserve">A large share of 2026</w:t>
      </w:r>
      <w:r>
        <w:t xml:space="preserve"> </w:t>
      </w:r>
      <w:r>
        <w:t xml:space="preserve">“</w:t>
      </w:r>
      <w:r>
        <w:t xml:space="preserve">new to plan</w:t>
      </w:r>
      <w:r>
        <w:t xml:space="preserve">”</w:t>
      </w:r>
      <w:r>
        <w:t xml:space="preserve"> </w:t>
      </w:r>
      <w:r>
        <w:t xml:space="preserve">members are involuntary movers from non-renewed UHC plans or from competitors’ exits. Tag them with the crosswalk and the non-renewal SEP; they have prior-year HCCs and should not be scored as cold starts.</w:t>
      </w:r>
    </w:p>
    <w:p>
      <w:pPr>
        <w:numPr>
          <w:ilvl w:val="0"/>
          <w:numId w:val="1010"/>
        </w:numPr>
        <w:pStyle w:val="Compact"/>
      </w:pPr>
      <w:r>
        <w:t xml:space="preserve">SNP share of the UHC book jumps; any model trained only on 2024 non-SNP members will under-predict 2026 new-member risk.</w:t>
      </w:r>
    </w:p>
    <w:p>
      <w:pPr>
        <w:numPr>
          <w:ilvl w:val="0"/>
          <w:numId w:val="1010"/>
        </w:numPr>
        <w:pStyle w:val="Compact"/>
      </w:pPr>
      <w:r>
        <w:t xml:space="preserve">V28 at 100% changes the meaning of the CMS RAF: the same diagnoses yield a lower score than in 2024, so RAF-based targets must be year-normalized.</w:t>
      </w:r>
    </w:p>
    <w:bookmarkEnd w:id="27"/>
    <w:bookmarkStart w:id="28" w:name="plan-year-2027"/>
    <w:p>
      <w:pPr>
        <w:pStyle w:val="Heading1"/>
      </w:pPr>
      <w:r>
        <w:t xml:space="preserve">Plan year 2027</w:t>
      </w:r>
    </w:p>
    <w:p>
      <w:pPr>
        <w:pStyle w:val="FirstParagraph"/>
      </w:pPr>
      <w:r>
        <w:t xml:space="preserve">2027 is the HMO year: UHC offers plans in 2,534 counties (a further 2% cut), grows HMO plan-county offerings from 6,462 to 7,009 while cutting PPOs, holds reach at 94%+, and prices into a +2.48% CMS update with the risk model unchanged, a $2,400 Part D cap, and new D-SNP enrollment limits.</w:t>
      </w:r>
    </w:p>
    <w:p>
      <w:pPr>
        <w:pStyle w:val="BodyText"/>
      </w:pPr>
      <w:r>
        <w:rPr>
          <w:bCs/>
          <w:b/>
        </w:rPr>
        <w:t xml:space="preserve">UHC footprint and products</w:t>
      </w:r>
    </w:p>
    <w:p>
      <w:pPr>
        <w:numPr>
          <w:ilvl w:val="0"/>
          <w:numId w:val="1011"/>
        </w:numPr>
        <w:pStyle w:val="Compact"/>
      </w:pPr>
      <w:r>
        <w:t xml:space="preserve">Plans available to 94%+ of eligibles; about 95% of eligibles in the footprint have HMO access, most at $0 premium; about 90% have a $0 option. $0 primary care, $0 preventive and $0 tier 1 Rx for nearly all MA members; UHC says more than 95% of non-SNP members never reach the OOP max, and many spend under $300 a year (UHC 2027 announcement, verified 2026-10-09).</w:t>
      </w:r>
    </w:p>
    <w:p>
      <w:pPr>
        <w:numPr>
          <w:ilvl w:val="0"/>
          <w:numId w:val="1011"/>
        </w:numPr>
        <w:pStyle w:val="Compact"/>
      </w:pPr>
      <w:r>
        <w:t xml:space="preserve">D-SNP reach about 74% of duals (from about 80%); C-SNP reach about 48M eligibles (diabetes, cardiovascular, CHF).</w:t>
      </w:r>
    </w:p>
    <w:p>
      <w:pPr>
        <w:numPr>
          <w:ilvl w:val="0"/>
          <w:numId w:val="1011"/>
        </w:numPr>
        <w:pStyle w:val="Compact"/>
      </w:pPr>
      <w:r>
        <w:t xml:space="preserve">UCard split from the member ID card, moved to Mastercard rails, real-time utility payments for qualifying D-SNP members, 70,000+ retail locations, 60,000+ network pharmacies.</w:t>
      </w:r>
    </w:p>
    <w:p>
      <w:pPr>
        <w:numPr>
          <w:ilvl w:val="0"/>
          <w:numId w:val="1011"/>
        </w:numPr>
        <w:pStyle w:val="Compact"/>
      </w:pPr>
      <w:r>
        <w:t xml:space="preserve">Individual plan-county offerings 12,421 to 11,734 (-687); HMO 6,462 to 7,009; exits concentrated in broker-sold PPOs; county footprint 2,597 to 2,534 (Fierce). CMS plan count 846 to 852; standard plans pulled from 140 counties; 34 counties exited entirely including all of Wyoming; 34 PPOs cut (Becker’s).</w:t>
      </w:r>
    </w:p>
    <w:p>
      <w:pPr>
        <w:numPr>
          <w:ilvl w:val="0"/>
          <w:numId w:val="1011"/>
        </w:numPr>
        <w:pStyle w:val="Compact"/>
      </w:pPr>
      <w:r>
        <w:t xml:space="preserve">About 390,000 members in discontinued 2027 plans per a company spokesperson (secondary source, unverified); non-renewal notices dated October 2, 2026 (UHC provider FAQ). 66% of UHC members will have access to both an HMO and a PPO in 2027, down from 70% in 2026; UHC has not published a 2027 state count.</w:t>
      </w:r>
    </w:p>
    <w:p>
      <w:pPr>
        <w:numPr>
          <w:ilvl w:val="0"/>
          <w:numId w:val="1011"/>
        </w:numPr>
        <w:pStyle w:val="Compact"/>
      </w:pPr>
      <w:r>
        <w:t xml:space="preserve">Competitor context: Humana drops about 600,000 members and exits Minnesota; Aetna -123 counties and from 43 to 41 states; Centene -344 counties; Molina exits individual MA. Twelve payers exit MA entirely.</w:t>
      </w:r>
    </w:p>
    <w:p>
      <w:pPr>
        <w:pStyle w:val="FirstParagraph"/>
      </w:pPr>
      <w:r>
        <w:rPr>
          <w:bCs/>
          <w:b/>
        </w:rPr>
        <w:t xml:space="preserve">CMS context</w:t>
      </w:r>
    </w:p>
    <w:p>
      <w:pPr>
        <w:numPr>
          <w:ilvl w:val="0"/>
          <w:numId w:val="1012"/>
        </w:numPr>
        <w:pStyle w:val="Compact"/>
      </w:pPr>
      <w:r>
        <w:t xml:space="preserve">Final 2027 rate announcement: +2.48% (4.98% with 2.50% coding trend); effective growth rate 5.33%; risk model and normalization -1.12%; 2024 CMS-HCC model retained (the proposed 2027 recalibration was not finalized); normalization factor 1.079; unlinked chart-review diagnoses excluded (-1.53%) (CMS; Wakely).</w:t>
      </w:r>
    </w:p>
    <w:p>
      <w:pPr>
        <w:numPr>
          <w:ilvl w:val="0"/>
          <w:numId w:val="1012"/>
        </w:numPr>
        <w:pStyle w:val="Compact"/>
      </w:pPr>
      <w:r>
        <w:t xml:space="preserve">Average MA premium $12.00 (-16.5%); projected enrollment 34M, 47.4% of Medicare; about 5,532 plans; MA-PD Part D premium after rebates $7 (CMS). SNPs 1,800 to 1,969 (+9.4%); C-SNPs 562 to 754 (+34%); average OOP max +9.1%; plan options fall in 28 states.</w:t>
      </w:r>
    </w:p>
    <w:p>
      <w:pPr>
        <w:numPr>
          <w:ilvl w:val="0"/>
          <w:numId w:val="1012"/>
        </w:numPr>
        <w:pStyle w:val="Compact"/>
      </w:pPr>
      <w:r>
        <w:t xml:space="preserve">Part D: deductible $700, OOP threshold $2,400; base beneficiary premium $41.33; premium stabilization demonstration ended, so standalone PDP premiums rise (CMS July 2026 announcement).</w:t>
      </w:r>
    </w:p>
    <w:p>
      <w:pPr>
        <w:numPr>
          <w:ilvl w:val="0"/>
          <w:numId w:val="1012"/>
        </w:numPr>
        <w:pStyle w:val="Compact"/>
      </w:pPr>
      <w:r>
        <w:t xml:space="preserve">D-SNP rules: from 2027 an MAO with a Medicaid MCO contract may offer only one full-benefit D-SNP in the overlap area and must limit new enrollment to people in or enrolling in that MCO; from 2030 unaligned enrollees are disenrolled (CMS 514(h) FAQs). Passive enrollment gets a 120-day continuity-of-care period; integrated ID cards and a single integrated HRA required for certain D-SNPs.</w:t>
      </w:r>
    </w:p>
    <w:p>
      <w:pPr>
        <w:numPr>
          <w:ilvl w:val="0"/>
          <w:numId w:val="1012"/>
        </w:numPr>
        <w:pStyle w:val="Compact"/>
      </w:pPr>
      <w:r>
        <w:t xml:space="preserve">Supplemental benefits: flex cards must be electronically linked to covered items with real-time POS verification and no carryover; SSBCI eligibility must use objective criteria; mid-year unused-benefit notice rescinded (CMS CY2027 final rule).</w:t>
      </w:r>
    </w:p>
    <w:p>
      <w:pPr>
        <w:numPr>
          <w:ilvl w:val="0"/>
          <w:numId w:val="1012"/>
        </w:numPr>
        <w:pStyle w:val="Compact"/>
      </w:pPr>
      <w:r>
        <w:t xml:space="preserve">Marketing deregulation effective October 1, 2026: 48-hour scope-of-appointment wait removed, superlatives ban removed, call recording retention cut. Broker FMV $725 initial, $363 renewal. Eligibility: OBBBA removes Medicare eligibility for several lawfully-present immigrant categories effective January 1, 2027, with auto-disenrollment.</w:t>
      </w:r>
    </w:p>
    <w:p>
      <w:pPr>
        <w:pStyle w:val="FirstParagraph"/>
      </w:pPr>
      <w:r>
        <w:rPr>
          <w:bCs/>
          <w:b/>
        </w:rPr>
        <w:t xml:space="preserve">Modeling implications for 2027 cohorts</w:t>
      </w:r>
    </w:p>
    <w:p>
      <w:pPr>
        <w:numPr>
          <w:ilvl w:val="0"/>
          <w:numId w:val="1013"/>
        </w:numPr>
        <w:pStyle w:val="Compact"/>
      </w:pPr>
      <w:r>
        <w:t xml:space="preserve">New D-SNP enrollees in overlap areas are aligned with UHC’s Medicaid MCO by rule, so the Medicaid plan’s data is the warm start for them.</w:t>
      </w:r>
    </w:p>
    <w:p>
      <w:pPr>
        <w:numPr>
          <w:ilvl w:val="0"/>
          <w:numId w:val="1013"/>
        </w:numPr>
        <w:pStyle w:val="Compact"/>
      </w:pPr>
      <w:r>
        <w:t xml:space="preserve">Marketing deregulation and higher broker fees likely shift the channel mix back toward brokers for AEP 2027; keep</w:t>
      </w:r>
      <w:r>
        <w:t xml:space="preserve"> </w:t>
      </w:r>
      <w:r>
        <w:rPr>
          <w:rStyle w:val="VerbatimChar"/>
        </w:rPr>
        <w:t xml:space="preserve">sales_channel</w:t>
      </w:r>
      <w:r>
        <w:t xml:space="preserve"> </w:t>
      </w:r>
      <w:r>
        <w:t xml:space="preserve">as a feature and expect its distribution to move.</w:t>
      </w:r>
    </w:p>
    <w:p>
      <w:pPr>
        <w:numPr>
          <w:ilvl w:val="0"/>
          <w:numId w:val="1013"/>
        </w:numPr>
        <w:pStyle w:val="Compact"/>
      </w:pPr>
      <w:r>
        <w:t xml:space="preserve">The 2027 cohort is the first with a stable risk model (same V28 as 2026) and a stable product strategy (HMO-first), so 2026 is the better analog for 2027 than 2024 or 2025 are.</w:t>
      </w:r>
    </w:p>
    <w:bookmarkEnd w:id="28"/>
    <w:bookmarkStart w:id="29" w:name="special-needs-plans-in-depth"/>
    <w:p>
      <w:pPr>
        <w:pStyle w:val="Heading1"/>
      </w:pPr>
      <w:r>
        <w:t xml:space="preserve">Special needs plans in depth</w:t>
      </w:r>
    </w:p>
    <w:p>
      <w:pPr>
        <w:pStyle w:val="FirstParagraph"/>
      </w:pPr>
      <w:r>
        <w:t xml:space="preserve">SNP enrollment is near-diagnostic: a C-SNP member has a provider-verified chronic condition, a D-SNP member has a known Medicaid eligibility category, and an I-SNP member needs nursing-home level care, so SNP type and subtype should be the first plan features the agent builds.</w:t>
      </w:r>
    </w:p>
    <w:p>
      <w:pPr>
        <w:pStyle w:val="BodyText"/>
      </w:pPr>
      <w:r>
        <w:rPr>
          <w:bCs/>
          <w:b/>
        </w:rPr>
        <w:t xml:space="preserve">C-SNP (chronic condition)</w:t>
      </w:r>
    </w:p>
    <w:p>
      <w:pPr>
        <w:numPr>
          <w:ilvl w:val="0"/>
          <w:numId w:val="1014"/>
        </w:numPr>
        <w:pStyle w:val="Compact"/>
      </w:pPr>
      <w:r>
        <w:t xml:space="preserve">The plan must contact the applicant’s existing provider to confirm the condition before enrollment, or use a CMS-approved pre-enrollment qualification assessment and confirm by the end of the first month; if not confirmed, the member is disenrolled at the end of month two and the agent forfeits compensation (CMS Managed Care Manual ch. 16b).</w:t>
      </w:r>
    </w:p>
    <w:p>
      <w:pPr>
        <w:numPr>
          <w:ilvl w:val="0"/>
          <w:numId w:val="1014"/>
        </w:numPr>
        <w:pStyle w:val="Compact"/>
      </w:pPr>
      <w:r>
        <w:t xml:space="preserve">Original 15 CMS conditions: chronic alcohol/drug dependence, autoimmune, cancer, cardiovascular, CHF, dementia, diabetes, end-stage liver disease, ESRD on dialysis, severe hematologic, HIV/AIDS, chronic lung, chronic and disabling mental health, neurologic, stroke; five approved groupings (e.g. diabetes + CHF + cardiovascular). From 2026 the list is 22, adding CKD, obesity/metabolic syndrome, chronic GI, post-transplant, immunodeficiency, cognitive impairment, functional and sensory impairment.</w:t>
      </w:r>
    </w:p>
    <w:p>
      <w:pPr>
        <w:numPr>
          <w:ilvl w:val="0"/>
          <w:numId w:val="1014"/>
        </w:numPr>
        <w:pStyle w:val="Compact"/>
      </w:pPr>
      <w:r>
        <w:t xml:space="preserve">UHC’s C-SNPs cover diabetes, cardiovascular and CHF; the diabetes + CHF + cardiovascular grouping was about 92% of national C-SNP enrollment in 2025 (Wakely). National C-SNP enrollment grew from under 400,000 in 2021 to over 1.1M in 2025, with about 600 plans in 2026 and 754 in 2027.</w:t>
      </w:r>
    </w:p>
    <w:p>
      <w:pPr>
        <w:numPr>
          <w:ilvl w:val="0"/>
          <w:numId w:val="1014"/>
        </w:numPr>
        <w:pStyle w:val="Compact"/>
      </w:pPr>
      <w:r>
        <w:t xml:space="preserve">CMS pays a separate C-SNP new-enrollee score about 70% above the standard demographic score for the same age-sex-Medicaid cell (Milliman). The plan’s C-SNP condition type is in the Landscape file (CY2025+) and as</w:t>
      </w:r>
      <w:r>
        <w:t xml:space="preserve"> </w:t>
      </w:r>
      <w:r>
        <w:rPr>
          <w:rStyle w:val="VerbatimChar"/>
        </w:rPr>
        <w:t xml:space="preserve">CONDITION_CATEGORY_01..20</w:t>
      </w:r>
      <w:r>
        <w:t xml:space="preserve"> </w:t>
      </w:r>
      <w:r>
        <w:t xml:space="preserve">flags in PBP-derived data.</w:t>
      </w:r>
    </w:p>
    <w:p>
      <w:pPr>
        <w:numPr>
          <w:ilvl w:val="0"/>
          <w:numId w:val="1014"/>
        </w:numPr>
        <w:pStyle w:val="Compact"/>
      </w:pPr>
      <w:r>
        <w:t xml:space="preserve">Feature:</w:t>
      </w:r>
      <w:r>
        <w:t xml:space="preserve"> </w:t>
      </w:r>
      <w:r>
        <w:rPr>
          <w:rStyle w:val="VerbatimChar"/>
        </w:rPr>
        <w:t xml:space="preserve">csnp_condition</w:t>
      </w:r>
      <w:r>
        <w:t xml:space="preserve"> </w:t>
      </w:r>
      <w:r>
        <w:t xml:space="preserve">as a categorical (diabetes, cardiovascular, CHF, combined, none), never a single flag.</w:t>
      </w:r>
    </w:p>
    <w:p>
      <w:pPr>
        <w:pStyle w:val="FirstParagraph"/>
      </w:pPr>
      <w:r>
        <w:rPr>
          <w:bCs/>
          <w:b/>
        </w:rPr>
        <w:t xml:space="preserve">D-SNP (dual eligible)</w:t>
      </w:r>
    </w:p>
    <w:p>
      <w:pPr>
        <w:numPr>
          <w:ilvl w:val="0"/>
          <w:numId w:val="1015"/>
        </w:numPr>
        <w:pStyle w:val="Compact"/>
      </w:pPr>
      <w:r>
        <w:t xml:space="preserve">Medicaid categories a D-SNP may enroll, set state by state in the SMAC: full Medicaid only, QMB only, QMB+, SLMB only, SLMB+, QI, QDWI (ICRC definitions). Full-benefit duals (QMB+, SLMB+, full Medicaid) get Medicaid-covered LTSS and are the highest-risk group; partial duals (QMB-only, SLMB, QI) get only premium and cost-sharing help.</w:t>
      </w:r>
    </w:p>
    <w:p>
      <w:pPr>
        <w:numPr>
          <w:ilvl w:val="0"/>
          <w:numId w:val="1015"/>
        </w:numPr>
        <w:pStyle w:val="Compact"/>
      </w:pPr>
      <w:r>
        <w:t xml:space="preserve">Integration types: FIDE (one legal entity holds the MA and Medicaid MCO contracts, covers LTSS including 180+ nursing-facility days, exclusively aligned enrollment from 2025), HIDE (capitated Medicaid contract for LTSS and/or behavioral health held by the plan or affiliate), AIP (applicable integrated plan with exclusively aligned enrollment and unified appeals; all FIDEs are AIPs from 2025), coordination-only (meets only the base SMAC requirements). Per-plan integration status is in the Landscape file and in CMS’s annual D-SNP integration status spreadsheets for CY2024, 2025, 2026.</w:t>
      </w:r>
    </w:p>
    <w:p>
      <w:pPr>
        <w:numPr>
          <w:ilvl w:val="0"/>
          <w:numId w:val="1015"/>
        </w:numPr>
        <w:pStyle w:val="Compact"/>
      </w:pPr>
      <w:r>
        <w:t xml:space="preserve">Frailty adjustment: FIDE SNPs (and PACE) receive frailty factors from -0.070 to +0.248 based on ADL counts from the HOS-M survey (Wakely).</w:t>
      </w:r>
    </w:p>
    <w:p>
      <w:pPr>
        <w:numPr>
          <w:ilvl w:val="0"/>
          <w:numId w:val="1015"/>
        </w:numPr>
        <w:pStyle w:val="Compact"/>
      </w:pPr>
      <w:r>
        <w:t xml:space="preserve">Look-alike rule: a non-SNP plan with 60%+ duals from 2026 (80% through 2024, 70% in 2025) is a D-SNP look-alike and must transition its enrollees (89 FR 30448). Members in such plans in 2024 to 2025 cohorts were moved into D-SNPs; the crosswalk shows it.</w:t>
      </w:r>
    </w:p>
    <w:p>
      <w:pPr>
        <w:numPr>
          <w:ilvl w:val="0"/>
          <w:numId w:val="1015"/>
        </w:numPr>
        <w:pStyle w:val="Compact"/>
      </w:pPr>
      <w:r>
        <w:t xml:space="preserve">2027 enrollment limits (§422.514(h)) make new D-SNP enrollment in overlap areas Medicaid-MCO aligned by construction.</w:t>
      </w:r>
    </w:p>
    <w:p>
      <w:pPr>
        <w:numPr>
          <w:ilvl w:val="0"/>
          <w:numId w:val="1015"/>
        </w:numPr>
        <w:pStyle w:val="Compact"/>
      </w:pPr>
      <w:r>
        <w:t xml:space="preserve">Features:</w:t>
      </w:r>
      <w:r>
        <w:t xml:space="preserve"> </w:t>
      </w:r>
      <w:r>
        <w:rPr>
          <w:rStyle w:val="VerbatimChar"/>
        </w:rPr>
        <w:t xml:space="preserve">dual_category</w:t>
      </w:r>
      <w:r>
        <w:t xml:space="preserve"> </w:t>
      </w:r>
      <w:r>
        <w:t xml:space="preserve">(full vs partial, with the specific code),</w:t>
      </w:r>
      <w:r>
        <w:t xml:space="preserve"> </w:t>
      </w:r>
      <w:r>
        <w:rPr>
          <w:rStyle w:val="VerbatimChar"/>
        </w:rPr>
        <w:t xml:space="preserve">dsnp_integration_type</w:t>
      </w:r>
      <w:r>
        <w:t xml:space="preserve"> </w:t>
      </w:r>
      <w:r>
        <w:t xml:space="preserve">(FIDE, HIDE, AIP, CO),</w:t>
      </w:r>
      <w:r>
        <w:t xml:space="preserve"> </w:t>
      </w:r>
      <w:r>
        <w:rPr>
          <w:rStyle w:val="VerbatimChar"/>
        </w:rPr>
        <w:t xml:space="preserve">medicaid_mco_aligned</w:t>
      </w:r>
      <w:r>
        <w:t xml:space="preserve">,</w:t>
      </w:r>
      <w:r>
        <w:t xml:space="preserve"> </w:t>
      </w:r>
      <w:r>
        <w:rPr>
          <w:rStyle w:val="VerbatimChar"/>
        </w:rPr>
        <w:t xml:space="preserve">hcbs_waiver</w:t>
      </w:r>
      <w:r>
        <w:t xml:space="preserve">.</w:t>
      </w:r>
    </w:p>
    <w:p>
      <w:pPr>
        <w:pStyle w:val="FirstParagraph"/>
      </w:pPr>
      <w:r>
        <w:rPr>
          <w:bCs/>
          <w:b/>
        </w:rPr>
        <w:t xml:space="preserve">I-SNP (institutional)</w:t>
      </w:r>
    </w:p>
    <w:p>
      <w:pPr>
        <w:numPr>
          <w:ilvl w:val="0"/>
          <w:numId w:val="1016"/>
        </w:numPr>
        <w:pStyle w:val="Compact"/>
      </w:pPr>
      <w:r>
        <w:t xml:space="preserve">For members who for 90+ days have needed or are expected to need long-term-care-facility level services; institutional-equivalent I-SNPs cover community residents assessed at that level by an entity independent of the plan. About 90% of I-SNP enrollees are duals (DLA Piper).</w:t>
      </w:r>
    </w:p>
    <w:p>
      <w:pPr>
        <w:numPr>
          <w:ilvl w:val="0"/>
          <w:numId w:val="1016"/>
        </w:numPr>
        <w:pStyle w:val="Compact"/>
      </w:pPr>
      <w:r>
        <w:t xml:space="preserve">Volume is small (154 plans nationally in 2026) but risk is extreme; keep</w:t>
      </w:r>
      <w:r>
        <w:t xml:space="preserve"> </w:t>
      </w:r>
      <w:r>
        <w:rPr>
          <w:rStyle w:val="VerbatimChar"/>
        </w:rPr>
        <w:t xml:space="preserve">isnp_flag</w:t>
      </w:r>
      <w:r>
        <w:t xml:space="preserve"> </w:t>
      </w:r>
      <w:r>
        <w:t xml:space="preserve">and</w:t>
      </w:r>
      <w:r>
        <w:t xml:space="preserve"> </w:t>
      </w:r>
      <w:r>
        <w:rPr>
          <w:rStyle w:val="VerbatimChar"/>
        </w:rPr>
        <w:t xml:space="preserve">institutional_equivalent_flag</w:t>
      </w:r>
      <w:r>
        <w:t xml:space="preserve"> </w:t>
      </w:r>
      <w:r>
        <w:t xml:space="preserve">separate from the CMS institutional RAF flag, which applies only after 90 days in a facility.</w:t>
      </w:r>
    </w:p>
    <w:p>
      <w:pPr>
        <w:pStyle w:val="FirstParagraph"/>
      </w:pPr>
      <w:r>
        <w:rPr>
          <w:bCs/>
          <w:b/>
        </w:rPr>
        <w:t xml:space="preserve">Why SNP enrollment outperforms the CMS new-enrollee score.</w:t>
      </w:r>
      <w:r>
        <w:t xml:space="preserve"> </w:t>
      </w:r>
      <w:r>
        <w:t xml:space="preserve">CMS’s standard new-enrollee model does not use SNP type at all, except for the separate C-SNP segment. A 68-year-old partial-dual woman in a standard HMO and a 68-year-old full-dual woman on an HCBS waiver in a FIDE D-SNP get similar CMS demographic scores; their first-year costs differ several-fold.</w:t>
      </w:r>
    </w:p>
    <w:bookmarkEnd w:id="29"/>
    <w:bookmarkStart w:id="30" w:name="public-data-sources-the-agent-can-load"/>
    <w:p>
      <w:pPr>
        <w:pStyle w:val="Heading1"/>
      </w:pPr>
      <w:r>
        <w:t xml:space="preserve">Public data sources the agent can load</w:t>
      </w:r>
    </w:p>
    <w:p>
      <w:pPr>
        <w:pStyle w:val="FirstParagraph"/>
      </w:pPr>
      <w:r>
        <w:t xml:space="preserve">Eight CMS public files cover every plan attribute this doc describes, all keyed by contract, PBP and segment, and all available for 2024 through 2027; the agent should land each as a Delta table keyed by plan year before building features. Column names inside the ZIPs were not inspected in this research (the session could not download them), so the agent must confirm headers on first load.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URL</w:t>
            </w:r>
          </w:p>
        </w:tc>
        <w:tc>
          <w:tcPr/>
          <w:p>
            <w:pPr>
              <w:pStyle w:val="Compact"/>
              <w:jc w:val="left"/>
            </w:pPr>
            <w:r>
              <w:t xml:space="preserve">Cadence and years</w:t>
            </w:r>
          </w:p>
        </w:tc>
        <w:tc>
          <w:tcPr/>
          <w:p>
            <w:pPr>
              <w:pStyle w:val="Compact"/>
              <w:jc w:val="left"/>
            </w:pPr>
            <w:r>
              <w:t xml:space="preserve">Grain and keys</w:t>
            </w:r>
          </w:p>
        </w:tc>
        <w:tc>
          <w:tcPr/>
          <w:p>
            <w:pPr>
              <w:pStyle w:val="Compact"/>
              <w:jc w:val="left"/>
            </w:pPr>
            <w:r>
              <w:t xml:space="preserve">What it gives</w:t>
            </w:r>
          </w:p>
        </w:tc>
      </w:tr>
      <w:tr>
        <w:tc>
          <w:tcPr/>
          <w:p>
            <w:pPr>
              <w:pStyle w:val="Compact"/>
              <w:jc w:val="left"/>
            </w:pPr>
            <w:r>
              <w:t xml:space="preserve">MA/PDP Landscape file</w:t>
            </w:r>
          </w:p>
        </w:tc>
        <w:tc>
          <w:tcPr/>
          <w:p>
            <w:pPr>
              <w:pStyle w:val="Compact"/>
              <w:jc w:val="left"/>
            </w:pPr>
            <w:r>
              <w:t xml:space="preserve">cms.gov/medicare/coverage/prescription-drug-coverage (CY2027 cy2027-landscape-202609-1.zip; CY2026 cy2026-landscape-202609.zip; CY2006 to 2025 bundle)</w:t>
            </w:r>
          </w:p>
        </w:tc>
        <w:tc>
          <w:tcPr/>
          <w:p>
            <w:pPr>
              <w:pStyle w:val="Compact"/>
              <w:jc w:val="left"/>
            </w:pPr>
            <w:r>
              <w:t xml:space="preserve">Annual, late September; 2025+ single combined file, 2024 in the old five-file layout</w:t>
            </w:r>
          </w:p>
        </w:tc>
        <w:tc>
          <w:tcPr/>
          <w:p>
            <w:pPr>
              <w:pStyle w:val="Compact"/>
              <w:jc w:val="left"/>
            </w:pPr>
            <w:r>
              <w:t xml:space="preserve">One row per contract, plan, segment, county (county as name)</w:t>
            </w:r>
          </w:p>
        </w:tc>
        <w:tc>
          <w:tcPr/>
          <w:p>
            <w:pPr>
              <w:pStyle w:val="Compact"/>
              <w:jc w:val="left"/>
            </w:pPr>
            <w:r>
              <w:t xml:space="preserve">Plan type, SNP type, C-SNP condition type, D-SNP integration status and AIP flag, Part C premium, consolidated premium, Part D deductible and premium, in-network MOOP, overall star rating</w:t>
            </w:r>
          </w:p>
        </w:tc>
      </w:tr>
      <w:tr>
        <w:tc>
          <w:tcPr/>
          <w:p>
            <w:pPr>
              <w:pStyle w:val="Compact"/>
              <w:jc w:val="left"/>
            </w:pPr>
            <w:r>
              <w:t xml:space="preserve">PBP Benefits data</w:t>
            </w:r>
          </w:p>
        </w:tc>
        <w:tc>
          <w:tcPr/>
          <w:p>
            <w:pPr>
              <w:pStyle w:val="Compact"/>
              <w:jc w:val="left"/>
            </w:pPr>
            <w:r>
              <w:t xml:space="preserve">cms.gov benefits-data page (pbp-benefits-2026.zip, pbp-benefits-2025.zip, 2024 quarterly, 2027 posted)</w:t>
            </w:r>
          </w:p>
        </w:tc>
        <w:tc>
          <w:tcPr/>
          <w:p>
            <w:pPr>
              <w:pStyle w:val="Compact"/>
              <w:jc w:val="left"/>
            </w:pPr>
            <w:r>
              <w:t xml:space="preserve">Annual at landscape release, quarterly refreshes through 2024; 2025+ also JSON</w:t>
            </w:r>
          </w:p>
        </w:tc>
        <w:tc>
          <w:tcPr/>
          <w:p>
            <w:pPr>
              <w:pStyle w:val="Compact"/>
              <w:jc w:val="left"/>
            </w:pPr>
            <w:r>
              <w:t xml:space="preserve">One row per PBP per benefit section</w:t>
            </w:r>
          </w:p>
        </w:tc>
        <w:tc>
          <w:tcPr/>
          <w:p>
            <w:pPr>
              <w:pStyle w:val="Compact"/>
              <w:jc w:val="left"/>
            </w:pPr>
            <w:r>
              <w:t xml:space="preserve">Full benefit detail: Section B copays by service, Section C OON, Section D deductible, MOOP and optional packages, Rx section tiers and deductible</w:t>
            </w:r>
          </w:p>
        </w:tc>
      </w:tr>
      <w:tr>
        <w:tc>
          <w:tcPr/>
          <w:p>
            <w:pPr>
              <w:pStyle w:val="Compact"/>
              <w:jc w:val="left"/>
            </w:pPr>
            <w:r>
              <w:t xml:space="preserve">MPF Benefit Summary Report</w:t>
            </w:r>
          </w:p>
        </w:tc>
        <w:tc>
          <w:tcPr/>
          <w:p>
            <w:pPr>
              <w:pStyle w:val="Compact"/>
              <w:jc w:val="left"/>
            </w:pPr>
            <w:r>
              <w:t xml:space="preserve">cms.gov MPF benefit summary page</w:t>
            </w:r>
          </w:p>
        </w:tc>
        <w:tc>
          <w:tcPr/>
          <w:p>
            <w:pPr>
              <w:pStyle w:val="Compact"/>
              <w:jc w:val="left"/>
            </w:pPr>
            <w:r>
              <w:t xml:space="preserve">Annual, CY2020 to 2026</w:t>
            </w:r>
          </w:p>
        </w:tc>
        <w:tc>
          <w:tcPr/>
          <w:p>
            <w:pPr>
              <w:pStyle w:val="Compact"/>
              <w:jc w:val="left"/>
            </w:pPr>
            <w:r>
              <w:t xml:space="preserve">Plan</w:t>
            </w:r>
          </w:p>
        </w:tc>
        <w:tc>
          <w:tcPr/>
          <w:p>
            <w:pPr>
              <w:pStyle w:val="Compact"/>
              <w:jc w:val="left"/>
            </w:pPr>
            <w:r>
              <w:t xml:space="preserve">Part C benefits as shown on Plan Finder; simpler than PBP</w:t>
            </w:r>
          </w:p>
        </w:tc>
      </w:tr>
      <w:tr>
        <w:tc>
          <w:tcPr/>
          <w:p>
            <w:pPr>
              <w:pStyle w:val="Compact"/>
              <w:jc w:val="left"/>
            </w:pPr>
            <w:r>
              <w:t xml:space="preserve">Monthly enrollment by contract, plan, state, county (CPSC)</w:t>
            </w:r>
          </w:p>
        </w:tc>
        <w:tc>
          <w:tcPr/>
          <w:p>
            <w:pPr>
              <w:pStyle w:val="Compact"/>
              <w:jc w:val="left"/>
            </w:pPr>
            <w:r>
              <w:t xml:space="preserve">cms.gov monthly-enrollment-contract/plan/state/county</w:t>
            </w:r>
          </w:p>
        </w:tc>
        <w:tc>
          <w:tcPr/>
          <w:p>
            <w:pPr>
              <w:pStyle w:val="Compact"/>
              <w:jc w:val="left"/>
            </w:pPr>
            <w:r>
              <w:t xml:space="preserve">Monthly, 2009 to 2026-09</w:t>
            </w:r>
          </w:p>
        </w:tc>
        <w:tc>
          <w:tcPr/>
          <w:p>
            <w:pPr>
              <w:pStyle w:val="Compact"/>
              <w:jc w:val="left"/>
            </w:pPr>
            <w:r>
              <w:t xml:space="preserve">Contract, plan, SSA county; counts under 11 suppressed</w:t>
            </w:r>
          </w:p>
        </w:tc>
        <w:tc>
          <w:tcPr/>
          <w:p>
            <w:pPr>
              <w:pStyle w:val="Compact"/>
              <w:jc w:val="left"/>
            </w:pPr>
            <w:r>
              <w:t xml:space="preserve">Plan size per county, plan type, SNP flag, EGHP flag, parent organization; base for county-relative features</w:t>
            </w:r>
          </w:p>
        </w:tc>
      </w:tr>
      <w:tr>
        <w:tc>
          <w:tcPr/>
          <w:p>
            <w:pPr>
              <w:pStyle w:val="Compact"/>
              <w:jc w:val="left"/>
            </w:pPr>
            <w:r>
              <w:t xml:space="preserve">SNP Comprehensive Report</w:t>
            </w:r>
          </w:p>
        </w:tc>
        <w:tc>
          <w:tcPr/>
          <w:p>
            <w:pPr>
              <w:pStyle w:val="Compact"/>
              <w:jc w:val="left"/>
            </w:pPr>
            <w:r>
              <w:t xml:space="preserve">cms.gov special-needs-plan-snp-data (snp_2026_07.zip)</w:t>
            </w:r>
          </w:p>
        </w:tc>
        <w:tc>
          <w:tcPr/>
          <w:p>
            <w:pPr>
              <w:pStyle w:val="Compact"/>
              <w:jc w:val="left"/>
            </w:pPr>
            <w:r>
              <w:t xml:space="preserve">Monthly, 2008 to 2026-09</w:t>
            </w:r>
          </w:p>
        </w:tc>
        <w:tc>
          <w:tcPr/>
          <w:p>
            <w:pPr>
              <w:pStyle w:val="Compact"/>
              <w:jc w:val="left"/>
            </w:pPr>
            <w:r>
              <w:t xml:space="preserve">Contract, plan, state</w:t>
            </w:r>
          </w:p>
        </w:tc>
        <w:tc>
          <w:tcPr/>
          <w:p>
            <w:pPr>
              <w:pStyle w:val="Compact"/>
              <w:jc w:val="left"/>
            </w:pPr>
            <w:r>
              <w:t xml:space="preserve">SNP type, enrollment, FIDE indicator; integration status summaries</w:t>
            </w:r>
          </w:p>
        </w:tc>
      </w:tr>
      <w:tr>
        <w:tc>
          <w:tcPr/>
          <w:p>
            <w:pPr>
              <w:pStyle w:val="Compact"/>
              <w:jc w:val="left"/>
            </w:pPr>
            <w:r>
              <w:t xml:space="preserve">D-SNP integration status spreadsheets</w:t>
            </w:r>
          </w:p>
        </w:tc>
        <w:tc>
          <w:tcPr/>
          <w:p>
            <w:pPr>
              <w:pStyle w:val="Compact"/>
              <w:jc w:val="left"/>
            </w:pPr>
            <w:r>
              <w:t xml:space="preserve">cms.gov/medicare/medicaid-coordination/about/dsnps (CY2024, CY2025, CY2026 XLSX; CY2027 integrated D-SNP list)</w:t>
            </w:r>
          </w:p>
        </w:tc>
        <w:tc>
          <w:tcPr/>
          <w:p>
            <w:pPr>
              <w:pStyle w:val="Compact"/>
              <w:jc w:val="left"/>
            </w:pPr>
            <w:r>
              <w:t xml:space="preserve">Annual</w:t>
            </w:r>
          </w:p>
        </w:tc>
        <w:tc>
          <w:tcPr/>
          <w:p>
            <w:pPr>
              <w:pStyle w:val="Compact"/>
              <w:jc w:val="left"/>
            </w:pPr>
            <w:r>
              <w:t xml:space="preserve">Contract, plan</w:t>
            </w:r>
          </w:p>
        </w:tc>
        <w:tc>
          <w:tcPr/>
          <w:p>
            <w:pPr>
              <w:pStyle w:val="Compact"/>
              <w:jc w:val="left"/>
            </w:pPr>
            <w:r>
              <w:t xml:space="preserve">FIDE, HIDE, AIP, coordination-only per plan</w:t>
            </w:r>
          </w:p>
        </w:tc>
      </w:tr>
      <w:tr>
        <w:tc>
          <w:tcPr/>
          <w:p>
            <w:pPr>
              <w:pStyle w:val="Compact"/>
              <w:jc w:val="left"/>
            </w:pPr>
            <w:r>
              <w:t xml:space="preserve">Part C&amp;D Plan Crosswalk</w:t>
            </w:r>
          </w:p>
        </w:tc>
        <w:tc>
          <w:tcPr/>
          <w:p>
            <w:pPr>
              <w:pStyle w:val="Compact"/>
              <w:jc w:val="left"/>
            </w:pPr>
            <w:r>
              <w:t xml:space="preserve">cms.gov plan-crosswalks (plan-crosswalk-2026.zip)</w:t>
            </w:r>
          </w:p>
        </w:tc>
        <w:tc>
          <w:tcPr/>
          <w:p>
            <w:pPr>
              <w:pStyle w:val="Compact"/>
              <w:jc w:val="left"/>
            </w:pPr>
            <w:r>
              <w:t xml:space="preserve">Annual, 2006 to 2027</w:t>
            </w:r>
          </w:p>
        </w:tc>
        <w:tc>
          <w:tcPr/>
          <w:p>
            <w:pPr>
              <w:pStyle w:val="Compact"/>
              <w:jc w:val="left"/>
            </w:pPr>
            <w:r>
              <w:t xml:space="preserve">Prior contract, PBP, segment to current</w:t>
            </w:r>
          </w:p>
        </w:tc>
        <w:tc>
          <w:tcPr/>
          <w:p>
            <w:pPr>
              <w:pStyle w:val="Compact"/>
              <w:jc w:val="left"/>
            </w:pPr>
            <w:r>
              <w:t xml:space="preserve">Renewal, consolidation, service-area change, termination; identifies involuntary movers</w:t>
            </w:r>
          </w:p>
        </w:tc>
      </w:tr>
      <w:tr>
        <w:tc>
          <w:tcPr/>
          <w:p>
            <w:pPr>
              <w:pStyle w:val="Compact"/>
              <w:jc w:val="left"/>
            </w:pPr>
            <w:r>
              <w:t xml:space="preserve">Star Ratings data tables</w:t>
            </w:r>
          </w:p>
        </w:tc>
        <w:tc>
          <w:tcPr/>
          <w:p>
            <w:pPr>
              <w:pStyle w:val="Compact"/>
              <w:jc w:val="left"/>
            </w:pPr>
            <w:r>
              <w:t xml:space="preserve">cms.gov/medicare/health-drug-plans/part-c-d-performance-data (2024 to 2027 ZIPs)</w:t>
            </w:r>
          </w:p>
        </w:tc>
        <w:tc>
          <w:tcPr/>
          <w:p>
            <w:pPr>
              <w:pStyle w:val="Compact"/>
              <w:jc w:val="left"/>
            </w:pPr>
            <w:r>
              <w:t xml:space="preserve">Annual, early October</w:t>
            </w:r>
          </w:p>
        </w:tc>
        <w:tc>
          <w:tcPr/>
          <w:p>
            <w:pPr>
              <w:pStyle w:val="Compact"/>
              <w:jc w:val="left"/>
            </w:pPr>
            <w:r>
              <w:t xml:space="preserve">Contract</w:t>
            </w:r>
          </w:p>
        </w:tc>
        <w:tc>
          <w:tcPr/>
          <w:p>
            <w:pPr>
              <w:pStyle w:val="Compact"/>
              <w:jc w:val="left"/>
            </w:pPr>
            <w:r>
              <w:t xml:space="preserve">Overall, Part C and Part D stars, measure-level scores</w:t>
            </w:r>
          </w:p>
        </w:tc>
      </w:tr>
      <w:tr>
        <w:tc>
          <w:tcPr/>
          <w:p>
            <w:pPr>
              <w:pStyle w:val="Compact"/>
              <w:jc w:val="left"/>
            </w:pPr>
            <w:r>
              <w:t xml:space="preserve">MA Rate Book and rate calculation data</w:t>
            </w:r>
          </w:p>
        </w:tc>
        <w:tc>
          <w:tcPr/>
          <w:p>
            <w:pPr>
              <w:pStyle w:val="Compact"/>
              <w:jc w:val="left"/>
            </w:pPr>
            <w:r>
              <w:t xml:space="preserve">cms.gov ratebooks-supporting-data, per-year pages 2024 to 2027; NBER mirror data.nber.org/ratebook/{YEAR}/</w:t>
            </w:r>
          </w:p>
        </w:tc>
        <w:tc>
          <w:tcPr/>
          <w:p>
            <w:pPr>
              <w:pStyle w:val="Compact"/>
              <w:jc w:val="left"/>
            </w:pPr>
            <w:r>
              <w:t xml:space="preserve">Annual, April</w:t>
            </w:r>
          </w:p>
        </w:tc>
        <w:tc>
          <w:tcPr/>
          <w:p>
            <w:pPr>
              <w:pStyle w:val="Compact"/>
              <w:jc w:val="left"/>
            </w:pPr>
            <w:r>
              <w:t xml:space="preserve">SSA county</w:t>
            </w:r>
          </w:p>
        </w:tc>
        <w:tc>
          <w:tcPr/>
          <w:p>
            <w:pPr>
              <w:pStyle w:val="Compact"/>
              <w:jc w:val="left"/>
            </w:pPr>
            <w:r>
              <w:t xml:space="preserve">County benchmark, FFS rate, applicable percentage; the SSA county list</w:t>
            </w:r>
          </w:p>
        </w:tc>
      </w:tr>
      <w:tr>
        <w:tc>
          <w:tcPr/>
          <w:p>
            <w:pPr>
              <w:pStyle w:val="Compact"/>
              <w:jc w:val="left"/>
            </w:pPr>
            <w:r>
              <w:t xml:space="preserve">SSA to FIPS crosswalk</w:t>
            </w:r>
          </w:p>
        </w:tc>
        <w:tc>
          <w:tcPr/>
          <w:p>
            <w:pPr>
              <w:pStyle w:val="Compact"/>
              <w:jc w:val="left"/>
            </w:pPr>
            <w:r>
              <w:t xml:space="preserve">nber.org ssa-fips-state-county-crosswalk (ssa_fips_state_county_{YEAR}.csv)</w:t>
            </w:r>
          </w:p>
        </w:tc>
        <w:tc>
          <w:tcPr/>
          <w:p>
            <w:pPr>
              <w:pStyle w:val="Compact"/>
              <w:jc w:val="left"/>
            </w:pPr>
            <w:r>
              <w:t xml:space="preserve">Annual, 2011 to 2026</w:t>
            </w:r>
          </w:p>
        </w:tc>
        <w:tc>
          <w:tcPr/>
          <w:p>
            <w:pPr>
              <w:pStyle w:val="Compact"/>
              <w:jc w:val="left"/>
            </w:pPr>
            <w:r>
              <w:t xml:space="preserve">County</w:t>
            </w:r>
          </w:p>
        </w:tc>
        <w:tc>
          <w:tcPr/>
          <w:p>
            <w:pPr>
              <w:pStyle w:val="Compact"/>
              <w:jc w:val="left"/>
            </w:pPr>
            <w:r>
              <w:t xml:space="preserve">Maps CMS SSA codes to FIPS for joining to PDFM, ADI and CDC PLACES</w:t>
            </w:r>
          </w:p>
        </w:tc>
      </w:tr>
      <w:tr>
        <w:tc>
          <w:tcPr/>
          <w:p>
            <w:pPr>
              <w:pStyle w:val="Compact"/>
              <w:jc w:val="left"/>
            </w:pPr>
            <w:r>
              <w:t xml:space="preserve">Part D formulary, pharmacy network and pricing PUF</w:t>
            </w:r>
          </w:p>
        </w:tc>
        <w:tc>
          <w:tcPr/>
          <w:p>
            <w:pPr>
              <w:pStyle w:val="Compact"/>
              <w:jc w:val="left"/>
            </w:pPr>
            <w:r>
              <w:t xml:space="preserve">data.cms.gov quarterly PDP formulary PUF</w:t>
            </w:r>
          </w:p>
        </w:tc>
        <w:tc>
          <w:tcPr/>
          <w:p>
            <w:pPr>
              <w:pStyle w:val="Compact"/>
              <w:jc w:val="left"/>
            </w:pPr>
            <w:r>
              <w:t xml:space="preserve">Quarterly, 2019 to 2025</w:t>
            </w:r>
          </w:p>
        </w:tc>
        <w:tc>
          <w:tcPr/>
          <w:p>
            <w:pPr>
              <w:pStyle w:val="Compact"/>
              <w:jc w:val="left"/>
            </w:pPr>
            <w:r>
              <w:t xml:space="preserve">Contract, plan, segment; formulary ID</w:t>
            </w:r>
          </w:p>
        </w:tc>
        <w:tc>
          <w:tcPr/>
          <w:p>
            <w:pPr>
              <w:pStyle w:val="Compact"/>
              <w:jc w:val="left"/>
            </w:pPr>
            <w:r>
              <w:t xml:space="preserve">Tier structure, beneficiary cost by tier, preferred pharmacy network; about 2.5 GB per quarter</w:t>
            </w:r>
          </w:p>
        </w:tc>
      </w:tr>
      <w:tr>
        <w:tc>
          <w:tcPr/>
          <w:p>
            <w:pPr>
              <w:pStyle w:val="Compact"/>
              <w:jc w:val="left"/>
            </w:pPr>
            <w:r>
              <w:t xml:space="preserve">MA contract service area; MA state/county penetration</w:t>
            </w:r>
          </w:p>
        </w:tc>
        <w:tc>
          <w:tcPr/>
          <w:p>
            <w:pPr>
              <w:pStyle w:val="Compact"/>
              <w:jc w:val="left"/>
            </w:pPr>
            <w:r>
              <w:t xml:space="preserve">cms.gov contract and enrollment data index</w:t>
            </w:r>
          </w:p>
        </w:tc>
        <w:tc>
          <w:tcPr/>
          <w:p>
            <w:pPr>
              <w:pStyle w:val="Compact"/>
              <w:jc w:val="left"/>
            </w:pPr>
            <w:r>
              <w:t xml:space="preserve">Monthly</w:t>
            </w:r>
          </w:p>
        </w:tc>
        <w:tc>
          <w:tcPr/>
          <w:p>
            <w:pPr>
              <w:pStyle w:val="Compact"/>
              <w:jc w:val="left"/>
            </w:pPr>
            <w:r>
              <w:t xml:space="preserve">Contract, SSA county</w:t>
            </w:r>
          </w:p>
        </w:tc>
        <w:tc>
          <w:tcPr/>
          <w:p>
            <w:pPr>
              <w:pStyle w:val="Compact"/>
              <w:jc w:val="left"/>
            </w:pPr>
            <w:r>
              <w:t xml:space="preserve">Service area membership; county MA penetration and eligibles</w:t>
            </w:r>
          </w:p>
        </w:tc>
      </w:tr>
    </w:tbl>
    <w:p>
      <w:pPr>
        <w:pStyle w:val="BodyText"/>
      </w:pPr>
      <w:r>
        <w:rPr>
          <w:bCs/>
          <w:b/>
        </w:rPr>
        <w:t xml:space="preserve">Loading notes for Databricks</w:t>
      </w:r>
    </w:p>
    <w:p>
      <w:pPr>
        <w:numPr>
          <w:ilvl w:val="0"/>
          <w:numId w:val="1017"/>
        </w:numPr>
        <w:pStyle w:val="Compact"/>
      </w:pPr>
      <w:r>
        <w:t xml:space="preserve">Land one Delta table per dataset per plan year, with</w:t>
      </w:r>
      <w:r>
        <w:t xml:space="preserve"> </w:t>
      </w:r>
      <w:r>
        <w:rPr>
          <w:rStyle w:val="VerbatimChar"/>
        </w:rPr>
        <w:t xml:space="preserve">plan_year</w:t>
      </w:r>
      <w:r>
        <w:t xml:space="preserve">,</w:t>
      </w:r>
      <w:r>
        <w:t xml:space="preserve"> </w:t>
      </w:r>
      <w:r>
        <w:rPr>
          <w:rStyle w:val="VerbatimChar"/>
        </w:rPr>
        <w:t xml:space="preserve">contract_id</w:t>
      </w:r>
      <w:r>
        <w:t xml:space="preserve">,</w:t>
      </w:r>
      <w:r>
        <w:t xml:space="preserve"> </w:t>
      </w:r>
      <w:r>
        <w:rPr>
          <w:rStyle w:val="VerbatimChar"/>
        </w:rPr>
        <w:t xml:space="preserve">plan_id</w:t>
      </w:r>
      <w:r>
        <w:t xml:space="preserve">,</w:t>
      </w:r>
      <w:r>
        <w:t xml:space="preserve"> </w:t>
      </w:r>
      <w:r>
        <w:rPr>
          <w:rStyle w:val="VerbatimChar"/>
        </w:rPr>
        <w:t xml:space="preserve">segment_id</w:t>
      </w:r>
      <w:r>
        <w:t xml:space="preserve"> </w:t>
      </w:r>
      <w:r>
        <w:t xml:space="preserve">as the first columns and a</w:t>
      </w:r>
      <w:r>
        <w:t xml:space="preserve"> </w:t>
      </w:r>
      <w:r>
        <w:rPr>
          <w:rStyle w:val="VerbatimChar"/>
        </w:rPr>
        <w:t xml:space="preserve">source_file</w:t>
      </w:r>
      <w:r>
        <w:t xml:space="preserve"> </w:t>
      </w:r>
      <w:r>
        <w:t xml:space="preserve">column holding the ZIP name and version suffix (e.g. 202609.1), because CMS re-posts corrected files under new suffixes.</w:t>
      </w:r>
    </w:p>
    <w:p>
      <w:pPr>
        <w:numPr>
          <w:ilvl w:val="0"/>
          <w:numId w:val="1017"/>
        </w:numPr>
        <w:pStyle w:val="Compact"/>
      </w:pPr>
      <w:r>
        <w:t xml:space="preserve">Build</w:t>
      </w:r>
      <w:r>
        <w:t xml:space="preserve"> </w:t>
      </w:r>
      <w:r>
        <w:rPr>
          <w:rStyle w:val="VerbatimChar"/>
        </w:rPr>
        <w:t xml:space="preserve">dim_plan</w:t>
      </w:r>
      <w:r>
        <w:t xml:space="preserve"> </w:t>
      </w:r>
      <w:r>
        <w:t xml:space="preserve">from the Landscape file (one row per plan-segment-county-year), then left-join PBP Benefits for copay detail, Star Ratings on contract and year, SNP report and integration spreadsheets on contract and plan, and the crosswalk for</w:t>
      </w:r>
      <w:r>
        <w:t xml:space="preserve"> </w:t>
      </w:r>
      <w:r>
        <w:rPr>
          <w:rStyle w:val="VerbatimChar"/>
        </w:rPr>
        <w:t xml:space="preserve">prior_plan_key</w:t>
      </w:r>
      <w:r>
        <w:t xml:space="preserve"> </w:t>
      </w:r>
      <w:r>
        <w:t xml:space="preserve">and</w:t>
      </w:r>
      <w:r>
        <w:t xml:space="preserve"> </w:t>
      </w:r>
      <w:r>
        <w:rPr>
          <w:rStyle w:val="VerbatimChar"/>
        </w:rPr>
        <w:t xml:space="preserve">relationship_code</w:t>
      </w:r>
      <w:r>
        <w:t xml:space="preserve">.</w:t>
      </w:r>
    </w:p>
    <w:p>
      <w:pPr>
        <w:numPr>
          <w:ilvl w:val="0"/>
          <w:numId w:val="1017"/>
        </w:numPr>
        <w:pStyle w:val="Compact"/>
      </w:pPr>
      <w:r>
        <w:t xml:space="preserve">Build</w:t>
      </w:r>
      <w:r>
        <w:t xml:space="preserve"> </w:t>
      </w:r>
      <w:r>
        <w:rPr>
          <w:rStyle w:val="VerbatimChar"/>
        </w:rPr>
        <w:t xml:space="preserve">dim_county_plan_market</w:t>
      </w:r>
      <w:r>
        <w:t xml:space="preserve"> </w:t>
      </w:r>
      <w:r>
        <w:t xml:space="preserve">from CPSC enrollment plus Landscape: for each county and year, the number of plans offered, minimum premium, minimum MOOP, share of plans with Part B giveback, OTC, and the member counts per plan. County-relative features come from this table.</w:t>
      </w:r>
    </w:p>
    <w:p>
      <w:pPr>
        <w:numPr>
          <w:ilvl w:val="0"/>
          <w:numId w:val="1017"/>
        </w:numPr>
        <w:pStyle w:val="Compact"/>
      </w:pPr>
      <w:r>
        <w:t xml:space="preserve">Convert SSA county to FIPS with the NBER crosswalk for the year, keeping both codes; handle Los Angeles (two SSA codes) and Connecticut (2024+ planning regions) explicitly.</w:t>
      </w:r>
    </w:p>
    <w:p>
      <w:pPr>
        <w:numPr>
          <w:ilvl w:val="0"/>
          <w:numId w:val="1017"/>
        </w:numPr>
        <w:pStyle w:val="Compact"/>
      </w:pPr>
      <w:r>
        <w:t xml:space="preserve">Confirm headers on first load: the CPSC ZIP holds a contract-info CSV and an enrollment CSV; the PBP ZIP holds one text file per section with a data dictionary; the Star Ratings ZIP is an XLSX workbook with summary-rating and measure tabs.</w:t>
      </w:r>
    </w:p>
    <w:p>
      <w:pPr>
        <w:numPr>
          <w:ilvl w:val="0"/>
          <w:numId w:val="1017"/>
        </w:numPr>
        <w:pStyle w:val="Compact"/>
      </w:pPr>
      <w:r>
        <w:t xml:space="preserve">Internal UHC tables (plan master, product hierarchy, PBP bid files, SMAC Medicaid category mappings, broker and channel tables) supersede the public files wherever they overlap; use the public files to fill gaps and to compute market-relative features that need competitors’ plans.</w:t>
      </w:r>
    </w:p>
    <w:bookmarkEnd w:id="30"/>
    <w:bookmarkStart w:id="31" w:name="feature-engineering-spec"/>
    <w:p>
      <w:pPr>
        <w:pStyle w:val="Heading1"/>
      </w:pPr>
      <w:r>
        <w:t xml:space="preserve">Feature engineering spec</w:t>
      </w:r>
    </w:p>
    <w:p>
      <w:pPr>
        <w:pStyle w:val="FirstParagraph"/>
      </w:pPr>
      <w:r>
        <w:t xml:space="preserve">The agent should produce the features below for every member-horizon row, in the order listed, because the first two tiers carry most of the lift over the CMS new-enrollee score and need only enrollment and plan tables. Horizon columns say when the feature may be used: 0+12 means known on the enrollment date; 2+10 means known by the end of month 2, and so on. Direction is the expected sign of the effect on next-12-month cost, to be checked, not assumed.</w:t>
      </w:r>
    </w:p>
    <w:p>
      <w:pPr>
        <w:pStyle w:val="BodyText"/>
      </w:pPr>
      <w:r>
        <w:rPr>
          <w:bCs/>
          <w:b/>
        </w:rPr>
        <w:t xml:space="preserve">Tier 1: SNP and eligibility (near-diagnostic)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Encoding</w:t>
            </w:r>
          </w:p>
        </w:tc>
        <w:tc>
          <w:tcPr/>
          <w:p>
            <w:pPr>
              <w:pStyle w:val="Compact"/>
              <w:jc w:val="left"/>
            </w:pPr>
            <w:r>
              <w:t xml:space="preserve">Source</w:t>
            </w:r>
          </w:p>
        </w:tc>
        <w:tc>
          <w:tcPr/>
          <w:p>
            <w:pPr>
              <w:pStyle w:val="Compact"/>
              <w:jc w:val="left"/>
            </w:pPr>
            <w:r>
              <w:t xml:space="preserve">Horizon</w:t>
            </w:r>
          </w:p>
        </w:tc>
        <w:tc>
          <w:tcPr/>
          <w:p>
            <w:pPr>
              <w:pStyle w:val="Compact"/>
              <w:jc w:val="left"/>
            </w:pPr>
            <w:r>
              <w:t xml:space="preserve">Direction</w:t>
            </w:r>
          </w:p>
        </w:tc>
      </w:tr>
      <w:tr>
        <w:tc>
          <w:tcPr/>
          <w:p>
            <w:pPr>
              <w:pStyle w:val="Compact"/>
              <w:jc w:val="left"/>
            </w:pPr>
            <w:r>
              <w:t xml:space="preserve">snp_type</w:t>
            </w:r>
          </w:p>
        </w:tc>
        <w:tc>
          <w:tcPr/>
          <w:p>
            <w:pPr>
              <w:pStyle w:val="Compact"/>
              <w:jc w:val="left"/>
            </w:pPr>
            <w:r>
              <w:t xml:space="preserve">categorical: none, D, C, I</w:t>
            </w:r>
          </w:p>
        </w:tc>
        <w:tc>
          <w:tcPr/>
          <w:p>
            <w:pPr>
              <w:pStyle w:val="Compact"/>
              <w:jc w:val="left"/>
            </w:pPr>
            <w:r>
              <w:t xml:space="preserve">Enrollment plan table; Landscape SNP Type</w:t>
            </w:r>
          </w:p>
        </w:tc>
        <w:tc>
          <w:tcPr/>
          <w:p>
            <w:pPr>
              <w:pStyle w:val="Compact"/>
              <w:jc w:val="left"/>
            </w:pPr>
            <w:r>
              <w:t xml:space="preserve">0+12</w:t>
            </w:r>
          </w:p>
        </w:tc>
        <w:tc>
          <w:tcPr/>
          <w:p>
            <w:pPr>
              <w:pStyle w:val="Compact"/>
              <w:jc w:val="left"/>
            </w:pPr>
            <w:r>
              <w:t xml:space="preserve">C, D, I all up</w:t>
            </w:r>
          </w:p>
        </w:tc>
      </w:tr>
      <w:tr>
        <w:tc>
          <w:tcPr/>
          <w:p>
            <w:pPr>
              <w:pStyle w:val="Compact"/>
              <w:jc w:val="left"/>
            </w:pPr>
            <w:r>
              <w:t xml:space="preserve">csnp_condition</w:t>
            </w:r>
          </w:p>
        </w:tc>
        <w:tc>
          <w:tcPr/>
          <w:p>
            <w:pPr>
              <w:pStyle w:val="Compact"/>
              <w:jc w:val="left"/>
            </w:pPr>
            <w:r>
              <w:t xml:space="preserve">categorical: diabetes, cardiovascular, CHF, combined grouping, none</w:t>
            </w:r>
          </w:p>
        </w:tc>
        <w:tc>
          <w:tcPr/>
          <w:p>
            <w:pPr>
              <w:pStyle w:val="Compact"/>
              <w:jc w:val="left"/>
            </w:pPr>
            <w:r>
              <w:t xml:space="preserve">Landscape C-SNP Condition Type; PBP condition flags</w:t>
            </w:r>
          </w:p>
        </w:tc>
        <w:tc>
          <w:tcPr/>
          <w:p>
            <w:pPr>
              <w:pStyle w:val="Compact"/>
              <w:jc w:val="left"/>
            </w:pPr>
            <w:r>
              <w:t xml:space="preserve">0+12</w:t>
            </w:r>
          </w:p>
        </w:tc>
        <w:tc>
          <w:tcPr/>
          <w:p>
            <w:pPr>
              <w:pStyle w:val="Compact"/>
              <w:jc w:val="left"/>
            </w:pPr>
            <w:r>
              <w:t xml:space="preserve">up; condition-specific</w:t>
            </w:r>
          </w:p>
        </w:tc>
      </w:tr>
      <w:tr>
        <w:tc>
          <w:tcPr/>
          <w:p>
            <w:pPr>
              <w:pStyle w:val="Compact"/>
              <w:jc w:val="left"/>
            </w:pPr>
            <w:r>
              <w:t xml:space="preserve">dual_category</w:t>
            </w:r>
          </w:p>
        </w:tc>
        <w:tc>
          <w:tcPr/>
          <w:p>
            <w:pPr>
              <w:pStyle w:val="Compact"/>
              <w:jc w:val="left"/>
            </w:pPr>
            <w:r>
              <w:t xml:space="preserve">categorical: full Medicaid, QMB+, SLMB+, QMB only, SLMB only, QI, QDWI, none</w:t>
            </w:r>
          </w:p>
        </w:tc>
        <w:tc>
          <w:tcPr/>
          <w:p>
            <w:pPr>
              <w:pStyle w:val="Compact"/>
              <w:jc w:val="left"/>
            </w:pPr>
            <w:r>
              <w:t xml:space="preserve">MMR Medicaid fields; state SMAC mapping</w:t>
            </w:r>
          </w:p>
        </w:tc>
        <w:tc>
          <w:tcPr/>
          <w:p>
            <w:pPr>
              <w:pStyle w:val="Compact"/>
              <w:jc w:val="left"/>
            </w:pPr>
            <w:r>
              <w:t xml:space="preserve">0+12</w:t>
            </w:r>
          </w:p>
        </w:tc>
        <w:tc>
          <w:tcPr/>
          <w:p>
            <w:pPr>
              <w:pStyle w:val="Compact"/>
              <w:jc w:val="left"/>
            </w:pPr>
            <w:r>
              <w:t xml:space="preserve">full-benefit far above partial</w:t>
            </w:r>
          </w:p>
        </w:tc>
      </w:tr>
      <w:tr>
        <w:tc>
          <w:tcPr/>
          <w:p>
            <w:pPr>
              <w:pStyle w:val="Compact"/>
              <w:jc w:val="left"/>
            </w:pPr>
            <w:r>
              <w:t xml:space="preserve">dual_full_benefit</w:t>
            </w:r>
          </w:p>
        </w:tc>
        <w:tc>
          <w:tcPr/>
          <w:p>
            <w:pPr>
              <w:pStyle w:val="Compact"/>
              <w:jc w:val="left"/>
            </w:pPr>
            <w:r>
              <w:t xml:space="preserve">0/1 derived from above</w:t>
            </w:r>
          </w:p>
        </w:tc>
        <w:tc>
          <w:tcPr/>
          <w:p>
            <w:pPr>
              <w:pStyle w:val="Compact"/>
              <w:jc w:val="left"/>
            </w:pPr>
            <w:r>
              <w:t xml:space="preserve">derived</w:t>
            </w:r>
          </w:p>
        </w:tc>
        <w:tc>
          <w:tcPr/>
          <w:p>
            <w:pPr>
              <w:pStyle w:val="Compact"/>
              <w:jc w:val="left"/>
            </w:pPr>
            <w:r>
              <w:t xml:space="preserve">0+12</w:t>
            </w:r>
          </w:p>
        </w:tc>
        <w:tc>
          <w:tcPr/>
          <w:p>
            <w:pPr>
              <w:pStyle w:val="Compact"/>
              <w:jc w:val="left"/>
            </w:pPr>
            <w:r>
              <w:t xml:space="preserve">up</w:t>
            </w:r>
          </w:p>
        </w:tc>
      </w:tr>
      <w:tr>
        <w:tc>
          <w:tcPr/>
          <w:p>
            <w:pPr>
              <w:pStyle w:val="Compact"/>
              <w:jc w:val="left"/>
            </w:pPr>
            <w:r>
              <w:t xml:space="preserve">hcbs_waiver / ltss_flag</w:t>
            </w:r>
          </w:p>
        </w:tc>
        <w:tc>
          <w:tcPr/>
          <w:p>
            <w:pPr>
              <w:pStyle w:val="Compact"/>
              <w:jc w:val="left"/>
            </w:pPr>
            <w:r>
              <w:t xml:space="preserve">0/1</w:t>
            </w:r>
          </w:p>
        </w:tc>
        <w:tc>
          <w:tcPr/>
          <w:p>
            <w:pPr>
              <w:pStyle w:val="Compact"/>
              <w:jc w:val="left"/>
            </w:pPr>
            <w:r>
              <w:t xml:space="preserve">Medicaid eligibility feed where available</w:t>
            </w:r>
          </w:p>
        </w:tc>
        <w:tc>
          <w:tcPr/>
          <w:p>
            <w:pPr>
              <w:pStyle w:val="Compact"/>
              <w:jc w:val="left"/>
            </w:pPr>
            <w:r>
              <w:t xml:space="preserve">0+12</w:t>
            </w:r>
          </w:p>
        </w:tc>
        <w:tc>
          <w:tcPr/>
          <w:p>
            <w:pPr>
              <w:pStyle w:val="Compact"/>
              <w:jc w:val="left"/>
            </w:pPr>
            <w:r>
              <w:t xml:space="preserve">strongly up</w:t>
            </w:r>
          </w:p>
        </w:tc>
      </w:tr>
      <w:tr>
        <w:tc>
          <w:tcPr/>
          <w:p>
            <w:pPr>
              <w:pStyle w:val="Compact"/>
              <w:jc w:val="left"/>
            </w:pPr>
            <w:r>
              <w:t xml:space="preserve">dsnp_integration_type</w:t>
            </w:r>
          </w:p>
        </w:tc>
        <w:tc>
          <w:tcPr/>
          <w:p>
            <w:pPr>
              <w:pStyle w:val="Compact"/>
              <w:jc w:val="left"/>
            </w:pPr>
            <w:r>
              <w:t xml:space="preserve">categorical: FIDE, HIDE, AIP, CO, not D-SNP</w:t>
            </w:r>
          </w:p>
        </w:tc>
        <w:tc>
          <w:tcPr/>
          <w:p>
            <w:pPr>
              <w:pStyle w:val="Compact"/>
              <w:jc w:val="left"/>
            </w:pPr>
            <w:r>
              <w:t xml:space="preserve">Landscape; CMS integration spreadsheets</w:t>
            </w:r>
          </w:p>
        </w:tc>
        <w:tc>
          <w:tcPr/>
          <w:p>
            <w:pPr>
              <w:pStyle w:val="Compact"/>
              <w:jc w:val="left"/>
            </w:pPr>
            <w:r>
              <w:t xml:space="preserve">0+12</w:t>
            </w:r>
          </w:p>
        </w:tc>
        <w:tc>
          <w:tcPr/>
          <w:p>
            <w:pPr>
              <w:pStyle w:val="Compact"/>
              <w:jc w:val="left"/>
            </w:pPr>
            <w:r>
              <w:t xml:space="preserve">FIDE highest</w:t>
            </w:r>
          </w:p>
        </w:tc>
      </w:tr>
      <w:tr>
        <w:tc>
          <w:tcPr/>
          <w:p>
            <w:pPr>
              <w:pStyle w:val="Compact"/>
              <w:jc w:val="left"/>
            </w:pPr>
            <w:r>
              <w:t xml:space="preserve">medicaid_mco_aligned</w:t>
            </w:r>
          </w:p>
        </w:tc>
        <w:tc>
          <w:tcPr/>
          <w:p>
            <w:pPr>
              <w:pStyle w:val="Compact"/>
              <w:jc w:val="left"/>
            </w:pPr>
            <w:r>
              <w:t xml:space="preserve">0/1</w:t>
            </w:r>
          </w:p>
        </w:tc>
        <w:tc>
          <w:tcPr/>
          <w:p>
            <w:pPr>
              <w:pStyle w:val="Compact"/>
              <w:jc w:val="left"/>
            </w:pPr>
            <w:r>
              <w:t xml:space="preserve">Enrollment; Integrated Care SEP use</w:t>
            </w:r>
          </w:p>
        </w:tc>
        <w:tc>
          <w:tcPr/>
          <w:p>
            <w:pPr>
              <w:pStyle w:val="Compact"/>
              <w:jc w:val="left"/>
            </w:pPr>
            <w:r>
              <w:t xml:space="preserve">0+12</w:t>
            </w:r>
          </w:p>
        </w:tc>
        <w:tc>
          <w:tcPr/>
          <w:p>
            <w:pPr>
              <w:pStyle w:val="Compact"/>
              <w:jc w:val="left"/>
            </w:pPr>
            <w:r>
              <w:t xml:space="preserve">up</w:t>
            </w:r>
          </w:p>
        </w:tc>
      </w:tr>
      <w:tr>
        <w:tc>
          <w:tcPr/>
          <w:p>
            <w:pPr>
              <w:pStyle w:val="Compact"/>
              <w:jc w:val="left"/>
            </w:pPr>
            <w:r>
              <w:t xml:space="preserve">isnp_flag, institutional_equivalent</w:t>
            </w:r>
          </w:p>
        </w:tc>
        <w:tc>
          <w:tcPr/>
          <w:p>
            <w:pPr>
              <w:pStyle w:val="Compact"/>
              <w:jc w:val="left"/>
            </w:pPr>
            <w:r>
              <w:t xml:space="preserve">0/1 each</w:t>
            </w:r>
          </w:p>
        </w:tc>
        <w:tc>
          <w:tcPr/>
          <w:p>
            <w:pPr>
              <w:pStyle w:val="Compact"/>
              <w:jc w:val="left"/>
            </w:pPr>
            <w:r>
              <w:t xml:space="preserve">Landscape Institutional SNP Type</w:t>
            </w:r>
          </w:p>
        </w:tc>
        <w:tc>
          <w:tcPr/>
          <w:p>
            <w:pPr>
              <w:pStyle w:val="Compact"/>
              <w:jc w:val="left"/>
            </w:pPr>
            <w:r>
              <w:t xml:space="preserve">0+12</w:t>
            </w:r>
          </w:p>
        </w:tc>
        <w:tc>
          <w:tcPr/>
          <w:p>
            <w:pPr>
              <w:pStyle w:val="Compact"/>
              <w:jc w:val="left"/>
            </w:pPr>
            <w:r>
              <w:t xml:space="preserve">strongly up</w:t>
            </w:r>
          </w:p>
        </w:tc>
      </w:tr>
      <w:tr>
        <w:tc>
          <w:tcPr/>
          <w:p>
            <w:pPr>
              <w:pStyle w:val="Compact"/>
              <w:jc w:val="left"/>
            </w:pPr>
            <w:r>
              <w:t xml:space="preserve">lis_level</w:t>
            </w:r>
          </w:p>
        </w:tc>
        <w:tc>
          <w:tcPr/>
          <w:p>
            <w:pPr>
              <w:pStyle w:val="Compact"/>
              <w:jc w:val="left"/>
            </w:pPr>
            <w:r>
              <w:t xml:space="preserve">categorical: full LIS, partial, none</w:t>
            </w:r>
          </w:p>
        </w:tc>
        <w:tc>
          <w:tcPr/>
          <w:p>
            <w:pPr>
              <w:pStyle w:val="Compact"/>
              <w:jc w:val="left"/>
            </w:pPr>
            <w:r>
              <w:t xml:space="preserve">MMR LIS fields</w:t>
            </w:r>
          </w:p>
        </w:tc>
        <w:tc>
          <w:tcPr/>
          <w:p>
            <w:pPr>
              <w:pStyle w:val="Compact"/>
              <w:jc w:val="left"/>
            </w:pPr>
            <w:r>
              <w:t xml:space="preserve">0+12</w:t>
            </w:r>
          </w:p>
        </w:tc>
        <w:tc>
          <w:tcPr/>
          <w:p>
            <w:pPr>
              <w:pStyle w:val="Compact"/>
              <w:jc w:val="left"/>
            </w:pPr>
            <w:r>
              <w:t xml:space="preserve">up</w:t>
            </w:r>
          </w:p>
        </w:tc>
      </w:tr>
      <w:tr>
        <w:tc>
          <w:tcPr/>
          <w:p>
            <w:pPr>
              <w:pStyle w:val="Compact"/>
              <w:jc w:val="left"/>
            </w:pPr>
            <w:r>
              <w:t xml:space="preserve">esrd_flag, orec</w:t>
            </w:r>
          </w:p>
        </w:tc>
        <w:tc>
          <w:tcPr/>
          <w:p>
            <w:pPr>
              <w:pStyle w:val="Compact"/>
              <w:jc w:val="left"/>
            </w:pPr>
            <w:r>
              <w:t xml:space="preserve">as CMS</w:t>
            </w:r>
          </w:p>
        </w:tc>
        <w:tc>
          <w:tcPr/>
          <w:p>
            <w:pPr>
              <w:pStyle w:val="Compact"/>
              <w:jc w:val="left"/>
            </w:pPr>
            <w:r>
              <w:t xml:space="preserve">MMR</w:t>
            </w:r>
          </w:p>
        </w:tc>
        <w:tc>
          <w:tcPr/>
          <w:p>
            <w:pPr>
              <w:pStyle w:val="Compact"/>
              <w:jc w:val="left"/>
            </w:pPr>
            <w:r>
              <w:t xml:space="preserve">0+12</w:t>
            </w:r>
          </w:p>
        </w:tc>
        <w:tc>
          <w:tcPr/>
          <w:p>
            <w:pPr>
              <w:pStyle w:val="Compact"/>
              <w:jc w:val="left"/>
            </w:pPr>
            <w:r>
              <w:t xml:space="preserve">up</w:t>
            </w:r>
          </w:p>
        </w:tc>
      </w:tr>
    </w:tbl>
    <w:p>
      <w:pPr>
        <w:pStyle w:val="BodyText"/>
      </w:pPr>
      <w:r>
        <w:rPr>
          <w:bCs/>
          <w:b/>
        </w:rPr>
        <w:t xml:space="preserve">Tier 2: how the member arrived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Encoding</w:t>
            </w:r>
          </w:p>
        </w:tc>
        <w:tc>
          <w:tcPr/>
          <w:p>
            <w:pPr>
              <w:pStyle w:val="Compact"/>
              <w:jc w:val="left"/>
            </w:pPr>
            <w:r>
              <w:t xml:space="preserve">Source</w:t>
            </w:r>
          </w:p>
        </w:tc>
        <w:tc>
          <w:tcPr/>
          <w:p>
            <w:pPr>
              <w:pStyle w:val="Compact"/>
              <w:jc w:val="left"/>
            </w:pPr>
            <w:r>
              <w:t xml:space="preserve">Horizon</w:t>
            </w:r>
          </w:p>
        </w:tc>
        <w:tc>
          <w:tcPr/>
          <w:p>
            <w:pPr>
              <w:pStyle w:val="Compact"/>
              <w:jc w:val="left"/>
            </w:pPr>
            <w:r>
              <w:t xml:space="preserve">Direction</w:t>
            </w:r>
          </w:p>
        </w:tc>
      </w:tr>
      <w:tr>
        <w:tc>
          <w:tcPr/>
          <w:p>
            <w:pPr>
              <w:pStyle w:val="Compact"/>
              <w:jc w:val="left"/>
            </w:pPr>
            <w:r>
              <w:t xml:space="preserve">enrollment_period_type</w:t>
            </w:r>
          </w:p>
        </w:tc>
        <w:tc>
          <w:tcPr/>
          <w:p>
            <w:pPr>
              <w:pStyle w:val="Compact"/>
              <w:jc w:val="left"/>
            </w:pPr>
            <w:r>
              <w:t xml:space="preserve">categorical: ICEP, IEP, AEP, OEP, SEP</w:t>
            </w:r>
          </w:p>
        </w:tc>
        <w:tc>
          <w:tcPr/>
          <w:p>
            <w:pPr>
              <w:pStyle w:val="Compact"/>
              <w:jc w:val="left"/>
            </w:pPr>
            <w:r>
              <w:t xml:space="preserve">Enrollment application</w:t>
            </w:r>
          </w:p>
        </w:tc>
        <w:tc>
          <w:tcPr/>
          <w:p>
            <w:pPr>
              <w:pStyle w:val="Compact"/>
              <w:jc w:val="left"/>
            </w:pPr>
            <w:r>
              <w:t xml:space="preserve">0+12</w:t>
            </w:r>
          </w:p>
        </w:tc>
        <w:tc>
          <w:tcPr/>
          <w:p>
            <w:pPr>
              <w:pStyle w:val="Compact"/>
              <w:jc w:val="left"/>
            </w:pPr>
            <w:r>
              <w:t xml:space="preserve">ICEP lowest; SEP highest</w:t>
            </w:r>
          </w:p>
        </w:tc>
      </w:tr>
      <w:tr>
        <w:tc>
          <w:tcPr/>
          <w:p>
            <w:pPr>
              <w:pStyle w:val="Compact"/>
              <w:jc w:val="left"/>
            </w:pPr>
            <w:r>
              <w:t xml:space="preserve">sep_reason</w:t>
            </w:r>
          </w:p>
        </w:tc>
        <w:tc>
          <w:tcPr/>
          <w:p>
            <w:pPr>
              <w:pStyle w:val="Compact"/>
              <w:jc w:val="left"/>
            </w:pPr>
            <w:r>
              <w:t xml:space="preserve">categorical: dual/LIS change, Integrated Care, move, loss of employer coverage, contract non-renewal, 5-star, disaster, Medigap trial, other</w:t>
            </w:r>
          </w:p>
        </w:tc>
        <w:tc>
          <w:tcPr/>
          <w:p>
            <w:pPr>
              <w:pStyle w:val="Compact"/>
              <w:jc w:val="left"/>
            </w:pPr>
            <w:r>
              <w:t xml:space="preserve">Enrollment application election code</w:t>
            </w:r>
          </w:p>
        </w:tc>
        <w:tc>
          <w:tcPr/>
          <w:p>
            <w:pPr>
              <w:pStyle w:val="Compact"/>
              <w:jc w:val="left"/>
            </w:pPr>
            <w:r>
              <w:t xml:space="preserve">0+12</w:t>
            </w:r>
          </w:p>
        </w:tc>
        <w:tc>
          <w:tcPr/>
          <w:p>
            <w:pPr>
              <w:pStyle w:val="Compact"/>
              <w:jc w:val="left"/>
            </w:pPr>
            <w:r>
              <w:t xml:space="preserve">non-renewal and Medicaid-change up</w:t>
            </w:r>
          </w:p>
        </w:tc>
      </w:tr>
      <w:tr>
        <w:tc>
          <w:tcPr/>
          <w:p>
            <w:pPr>
              <w:pStyle w:val="Compact"/>
              <w:jc w:val="left"/>
            </w:pPr>
            <w:r>
              <w:t xml:space="preserve">enrollment_month</w:t>
            </w:r>
          </w:p>
        </w:tc>
        <w:tc>
          <w:tcPr/>
          <w:p>
            <w:pPr>
              <w:pStyle w:val="Compact"/>
              <w:jc w:val="left"/>
            </w:pPr>
            <w:r>
              <w:t xml:space="preserve">1 to 12</w:t>
            </w:r>
          </w:p>
        </w:tc>
        <w:tc>
          <w:tcPr/>
          <w:p>
            <w:pPr>
              <w:pStyle w:val="Compact"/>
              <w:jc w:val="left"/>
            </w:pPr>
            <w:r>
              <w:t xml:space="preserve">MMR effective date</w:t>
            </w:r>
          </w:p>
        </w:tc>
        <w:tc>
          <w:tcPr/>
          <w:p>
            <w:pPr>
              <w:pStyle w:val="Compact"/>
              <w:jc w:val="left"/>
            </w:pPr>
            <w:r>
              <w:t xml:space="preserve">0+12</w:t>
            </w:r>
          </w:p>
        </w:tc>
        <w:tc>
          <w:tcPr/>
          <w:p>
            <w:pPr>
              <w:pStyle w:val="Compact"/>
              <w:jc w:val="left"/>
            </w:pPr>
            <w:r>
              <w:t xml:space="preserve">mid-year up</w:t>
            </w:r>
          </w:p>
        </w:tc>
      </w:tr>
      <w:tr>
        <w:tc>
          <w:tcPr/>
          <w:p>
            <w:pPr>
              <w:pStyle w:val="Compact"/>
              <w:jc w:val="left"/>
            </w:pPr>
            <w:r>
              <w:t xml:space="preserve">prior_coverage_source</w:t>
            </w:r>
          </w:p>
        </w:tc>
        <w:tc>
          <w:tcPr/>
          <w:p>
            <w:pPr>
              <w:pStyle w:val="Compact"/>
              <w:jc w:val="left"/>
            </w:pPr>
            <w:r>
              <w:t xml:space="preserve">categorical: age-in (no prior), Original Medicare FFS, other MA plan, Medigap, employer, Medicaid-only, unknown</w:t>
            </w:r>
          </w:p>
        </w:tc>
        <w:tc>
          <w:tcPr/>
          <w:p>
            <w:pPr>
              <w:pStyle w:val="Compact"/>
              <w:jc w:val="left"/>
            </w:pPr>
            <w:r>
              <w:t xml:space="preserve">Application; CMS prior-plan data; crosswalk</w:t>
            </w:r>
          </w:p>
        </w:tc>
        <w:tc>
          <w:tcPr/>
          <w:p>
            <w:pPr>
              <w:pStyle w:val="Compact"/>
              <w:jc w:val="left"/>
            </w:pPr>
            <w:r>
              <w:t xml:space="preserve">0+12</w:t>
            </w:r>
          </w:p>
        </w:tc>
        <w:tc>
          <w:tcPr/>
          <w:p>
            <w:pPr>
              <w:pStyle w:val="Compact"/>
              <w:jc w:val="left"/>
            </w:pPr>
            <w:r>
              <w:t xml:space="preserve">FFS switcher and MA switcher above age-in</w:t>
            </w:r>
          </w:p>
        </w:tc>
      </w:tr>
      <w:tr>
        <w:tc>
          <w:tcPr/>
          <w:p>
            <w:pPr>
              <w:pStyle w:val="Compact"/>
              <w:jc w:val="left"/>
            </w:pPr>
            <w:r>
              <w:t xml:space="preserve">prior_uhc_relationship</w:t>
            </w:r>
          </w:p>
        </w:tc>
        <w:tc>
          <w:tcPr/>
          <w:p>
            <w:pPr>
              <w:pStyle w:val="Compact"/>
              <w:jc w:val="left"/>
            </w:pPr>
            <w:r>
              <w:t xml:space="preserve">categorical: none, AARP Medigap, AARP PDP, UHC commercial, Optum Rx, UHC Medicaid</w:t>
            </w:r>
          </w:p>
        </w:tc>
        <w:tc>
          <w:tcPr/>
          <w:p>
            <w:pPr>
              <w:pStyle w:val="Compact"/>
              <w:jc w:val="left"/>
            </w:pPr>
            <w:r>
              <w:t xml:space="preserve">Enterprise member match</w:t>
            </w:r>
          </w:p>
        </w:tc>
        <w:tc>
          <w:tcPr/>
          <w:p>
            <w:pPr>
              <w:pStyle w:val="Compact"/>
              <w:jc w:val="left"/>
            </w:pPr>
            <w:r>
              <w:t xml:space="preserve">0+12</w:t>
            </w:r>
          </w:p>
        </w:tc>
        <w:tc>
          <w:tcPr/>
          <w:p>
            <w:pPr>
              <w:pStyle w:val="Compact"/>
              <w:jc w:val="left"/>
            </w:pPr>
            <w:r>
              <w:t xml:space="preserve">depends; enables warm start</w:t>
            </w:r>
          </w:p>
        </w:tc>
      </w:tr>
      <w:tr>
        <w:tc>
          <w:tcPr/>
          <w:p>
            <w:pPr>
              <w:pStyle w:val="Compact"/>
              <w:jc w:val="left"/>
            </w:pPr>
            <w:r>
              <w:t xml:space="preserve">involuntary_mover</w:t>
            </w:r>
          </w:p>
        </w:tc>
        <w:tc>
          <w:tcPr/>
          <w:p>
            <w:pPr>
              <w:pStyle w:val="Compact"/>
              <w:jc w:val="left"/>
            </w:pPr>
            <w:r>
              <w:t xml:space="preserve">0/1: prior plan non-renewed, service-area reduced, or look-alike transition</w:t>
            </w:r>
          </w:p>
        </w:tc>
        <w:tc>
          <w:tcPr/>
          <w:p>
            <w:pPr>
              <w:pStyle w:val="Compact"/>
              <w:jc w:val="left"/>
            </w:pPr>
            <w:r>
              <w:t xml:space="preserve">Plan crosswalk relationship code; non-renewal SEP</w:t>
            </w:r>
          </w:p>
        </w:tc>
        <w:tc>
          <w:tcPr/>
          <w:p>
            <w:pPr>
              <w:pStyle w:val="Compact"/>
              <w:jc w:val="left"/>
            </w:pPr>
            <w:r>
              <w:t xml:space="preserve">0+12</w:t>
            </w:r>
          </w:p>
        </w:tc>
        <w:tc>
          <w:tcPr/>
          <w:p>
            <w:pPr>
              <w:pStyle w:val="Compact"/>
              <w:jc w:val="left"/>
            </w:pPr>
            <w:r>
              <w:t xml:space="preserve">up; also not a true cold start</w:t>
            </w:r>
          </w:p>
        </w:tc>
      </w:tr>
      <w:tr>
        <w:tc>
          <w:tcPr/>
          <w:p>
            <w:pPr>
              <w:pStyle w:val="Compact"/>
              <w:jc w:val="left"/>
            </w:pPr>
            <w:r>
              <w:t xml:space="preserve">sales_channel</w:t>
            </w:r>
          </w:p>
        </w:tc>
        <w:tc>
          <w:tcPr/>
          <w:p>
            <w:pPr>
              <w:pStyle w:val="Compact"/>
              <w:jc w:val="left"/>
            </w:pPr>
            <w:r>
              <w:t xml:space="preserve">categorical: FMO/independent broker, captive agent, telesales, direct/online, direct mail, group</w:t>
            </w:r>
          </w:p>
        </w:tc>
        <w:tc>
          <w:tcPr/>
          <w:p>
            <w:pPr>
              <w:pStyle w:val="Compact"/>
              <w:jc w:val="left"/>
            </w:pPr>
            <w:r>
              <w:t xml:space="preserve">Enrollment source</w:t>
            </w:r>
          </w:p>
        </w:tc>
        <w:tc>
          <w:tcPr/>
          <w:p>
            <w:pPr>
              <w:pStyle w:val="Compact"/>
              <w:jc w:val="left"/>
            </w:pPr>
            <w:r>
              <w:t xml:space="preserve">0+12</w:t>
            </w:r>
          </w:p>
        </w:tc>
        <w:tc>
          <w:tcPr/>
          <w:p>
            <w:pPr>
              <w:pStyle w:val="Compact"/>
              <w:jc w:val="left"/>
            </w:pPr>
            <w:r>
              <w:t xml:space="preserve">broker D-SNP up</w:t>
            </w:r>
          </w:p>
        </w:tc>
      </w:tr>
      <w:tr>
        <w:tc>
          <w:tcPr/>
          <w:p>
            <w:pPr>
              <w:pStyle w:val="Compact"/>
              <w:jc w:val="left"/>
            </w:pPr>
            <w:r>
              <w:t xml:space="preserve">broker_id</w:t>
            </w:r>
          </w:p>
        </w:tc>
        <w:tc>
          <w:tcPr/>
          <w:p>
            <w:pPr>
              <w:pStyle w:val="Compact"/>
              <w:jc w:val="left"/>
            </w:pPr>
            <w:r>
              <w:t xml:space="preserve">high-cardinality; target-encode out of fold</w:t>
            </w:r>
          </w:p>
        </w:tc>
        <w:tc>
          <w:tcPr/>
          <w:p>
            <w:pPr>
              <w:pStyle w:val="Compact"/>
              <w:jc w:val="left"/>
            </w:pPr>
            <w:r>
              <w:t xml:space="preserve">Enrollment</w:t>
            </w:r>
          </w:p>
        </w:tc>
        <w:tc>
          <w:tcPr/>
          <w:p>
            <w:pPr>
              <w:pStyle w:val="Compact"/>
              <w:jc w:val="left"/>
            </w:pPr>
            <w:r>
              <w:t xml:space="preserve">0+12</w:t>
            </w:r>
          </w:p>
        </w:tc>
        <w:tc>
          <w:tcPr/>
          <w:p>
            <w:pPr>
              <w:pStyle w:val="Compact"/>
              <w:jc w:val="left"/>
            </w:pPr>
            <w:r>
              <w:t xml:space="preserve">varies</w:t>
            </w:r>
          </w:p>
        </w:tc>
      </w:tr>
      <w:tr>
        <w:tc>
          <w:tcPr/>
          <w:p>
            <w:pPr>
              <w:pStyle w:val="Compact"/>
              <w:jc w:val="left"/>
            </w:pPr>
            <w:r>
              <w:t xml:space="preserve">application_mode</w:t>
            </w:r>
          </w:p>
        </w:tc>
        <w:tc>
          <w:tcPr/>
          <w:p>
            <w:pPr>
              <w:pStyle w:val="Compact"/>
              <w:jc w:val="left"/>
            </w:pPr>
            <w:r>
              <w:t xml:space="preserve">paper vs electronic; days from application to effective date</w:t>
            </w:r>
          </w:p>
        </w:tc>
        <w:tc>
          <w:tcPr/>
          <w:p>
            <w:pPr>
              <w:pStyle w:val="Compact"/>
              <w:jc w:val="left"/>
            </w:pPr>
            <w:r>
              <w:t xml:space="preserve">Enrollment</w:t>
            </w:r>
          </w:p>
        </w:tc>
        <w:tc>
          <w:tcPr/>
          <w:p>
            <w:pPr>
              <w:pStyle w:val="Compact"/>
              <w:jc w:val="left"/>
            </w:pPr>
            <w:r>
              <w:t xml:space="preserve">0+12</w:t>
            </w:r>
          </w:p>
        </w:tc>
        <w:tc>
          <w:tcPr/>
          <w:p>
            <w:pPr>
              <w:pStyle w:val="Compact"/>
              <w:jc w:val="left"/>
            </w:pPr>
            <w:r>
              <w:t xml:space="preserve">weak</w:t>
            </w:r>
          </w:p>
        </w:tc>
      </w:tr>
      <w:tr>
        <w:tc>
          <w:tcPr/>
          <w:p>
            <w:pPr>
              <w:pStyle w:val="Compact"/>
              <w:jc w:val="left"/>
            </w:pPr>
            <w:r>
              <w:t xml:space="preserve">group_egwp_flag</w:t>
            </w:r>
          </w:p>
        </w:tc>
        <w:tc>
          <w:tcPr/>
          <w:p>
            <w:pPr>
              <w:pStyle w:val="Compact"/>
              <w:jc w:val="left"/>
            </w:pPr>
            <w:r>
              <w:t xml:space="preserve">0/1</w:t>
            </w:r>
          </w:p>
        </w:tc>
        <w:tc>
          <w:tcPr/>
          <w:p>
            <w:pPr>
              <w:pStyle w:val="Compact"/>
              <w:jc w:val="left"/>
            </w:pPr>
            <w:r>
              <w:t xml:space="preserve">Plan table EGHP flag</w:t>
            </w:r>
          </w:p>
        </w:tc>
        <w:tc>
          <w:tcPr/>
          <w:p>
            <w:pPr>
              <w:pStyle w:val="Compact"/>
              <w:jc w:val="left"/>
            </w:pPr>
            <w:r>
              <w:t xml:space="preserve">0+12</w:t>
            </w:r>
          </w:p>
        </w:tc>
        <w:tc>
          <w:tcPr/>
          <w:p>
            <w:pPr>
              <w:pStyle w:val="Compact"/>
              <w:jc w:val="left"/>
            </w:pPr>
            <w:r>
              <w:t xml:space="preserve">model separately</w:t>
            </w:r>
          </w:p>
        </w:tc>
      </w:tr>
    </w:tbl>
    <w:p>
      <w:pPr>
        <w:pStyle w:val="BodyText"/>
      </w:pPr>
      <w:r>
        <w:rPr>
          <w:bCs/>
          <w:b/>
        </w:rPr>
        <w:t xml:space="preserve">Tier 3: plan choice (revealed preference), all county- and year-relative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Encoding</w:t>
            </w:r>
          </w:p>
        </w:tc>
        <w:tc>
          <w:tcPr/>
          <w:p>
            <w:pPr>
              <w:pStyle w:val="Compact"/>
              <w:jc w:val="left"/>
            </w:pPr>
            <w:r>
              <w:t xml:space="preserve">Source</w:t>
            </w:r>
          </w:p>
        </w:tc>
        <w:tc>
          <w:tcPr/>
          <w:p>
            <w:pPr>
              <w:pStyle w:val="Compact"/>
              <w:jc w:val="left"/>
            </w:pPr>
            <w:r>
              <w:t xml:space="preserve">Horizon</w:t>
            </w:r>
          </w:p>
        </w:tc>
        <w:tc>
          <w:tcPr/>
          <w:p>
            <w:pPr>
              <w:pStyle w:val="Compact"/>
              <w:jc w:val="left"/>
            </w:pPr>
            <w:r>
              <w:t xml:space="preserve">Direction</w:t>
            </w:r>
          </w:p>
        </w:tc>
      </w:tr>
      <w:tr>
        <w:tc>
          <w:tcPr/>
          <w:p>
            <w:pPr>
              <w:pStyle w:val="Compact"/>
              <w:jc w:val="left"/>
            </w:pPr>
            <w:r>
              <w:t xml:space="preserve">plan_type</w:t>
            </w:r>
          </w:p>
        </w:tc>
        <w:tc>
          <w:tcPr/>
          <w:p>
            <w:pPr>
              <w:pStyle w:val="Compact"/>
              <w:jc w:val="left"/>
            </w:pPr>
            <w:r>
              <w:t xml:space="preserve">categorical: HMO, HMO-POS, LPPO, RPPO, PFFS</w:t>
            </w:r>
          </w:p>
        </w:tc>
        <w:tc>
          <w:tcPr/>
          <w:p>
            <w:pPr>
              <w:pStyle w:val="Compact"/>
              <w:jc w:val="left"/>
            </w:pPr>
            <w:r>
              <w:t xml:space="preserve">Landscape Plan Type</w:t>
            </w:r>
          </w:p>
        </w:tc>
        <w:tc>
          <w:tcPr/>
          <w:p>
            <w:pPr>
              <w:pStyle w:val="Compact"/>
              <w:jc w:val="left"/>
            </w:pPr>
            <w:r>
              <w:t xml:space="preserve">0+12</w:t>
            </w:r>
          </w:p>
        </w:tc>
        <w:tc>
          <w:tcPr/>
          <w:p>
            <w:pPr>
              <w:pStyle w:val="Compact"/>
              <w:jc w:val="left"/>
            </w:pPr>
            <w:r>
              <w:t xml:space="preserve">PPO up</w:t>
            </w:r>
          </w:p>
        </w:tc>
      </w:tr>
      <w:tr>
        <w:tc>
          <w:tcPr/>
          <w:p>
            <w:pPr>
              <w:pStyle w:val="Compact"/>
              <w:jc w:val="left"/>
            </w:pPr>
            <w:r>
              <w:t xml:space="preserve">premium_c_raw, premium_rank_in_county, premium_minus_county_min</w:t>
            </w:r>
          </w:p>
        </w:tc>
        <w:tc>
          <w:tcPr/>
          <w:p>
            <w:pPr>
              <w:pStyle w:val="Compact"/>
              <w:jc w:val="left"/>
            </w:pPr>
            <w:r>
              <w:t xml:space="preserve">dollars; rank; dollars</w:t>
            </w:r>
          </w:p>
        </w:tc>
        <w:tc>
          <w:tcPr/>
          <w:p>
            <w:pPr>
              <w:pStyle w:val="Compact"/>
              <w:jc w:val="left"/>
            </w:pPr>
            <w:r>
              <w:t xml:space="preserve">Landscape; dim_county_plan_market</w:t>
            </w:r>
          </w:p>
        </w:tc>
        <w:tc>
          <w:tcPr/>
          <w:p>
            <w:pPr>
              <w:pStyle w:val="Compact"/>
              <w:jc w:val="left"/>
            </w:pPr>
            <w:r>
              <w:t xml:space="preserve">0+12</w:t>
            </w:r>
          </w:p>
        </w:tc>
        <w:tc>
          <w:tcPr/>
          <w:p>
            <w:pPr>
              <w:pStyle w:val="Compact"/>
              <w:jc w:val="left"/>
            </w:pPr>
            <w:r>
              <w:t xml:space="preserve">paying more up</w:t>
            </w:r>
          </w:p>
        </w:tc>
      </w:tr>
      <w:tr>
        <w:tc>
          <w:tcPr/>
          <w:p>
            <w:pPr>
              <w:pStyle w:val="Compact"/>
              <w:jc w:val="left"/>
            </w:pPr>
            <w:r>
              <w:t xml:space="preserve">part_b_giveback_flag, giveback_amount</w:t>
            </w:r>
          </w:p>
        </w:tc>
        <w:tc>
          <w:tcPr/>
          <w:p>
            <w:pPr>
              <w:pStyle w:val="Compact"/>
              <w:jc w:val="left"/>
            </w:pPr>
            <w:r>
              <w:t xml:space="preserve">0/1; dollars</w:t>
            </w:r>
          </w:p>
        </w:tc>
        <w:tc>
          <w:tcPr/>
          <w:p>
            <w:pPr>
              <w:pStyle w:val="Compact"/>
              <w:jc w:val="left"/>
            </w:pPr>
            <w:r>
              <w:t xml:space="preserve">PBP Section D</w:t>
            </w:r>
          </w:p>
        </w:tc>
        <w:tc>
          <w:tcPr/>
          <w:p>
            <w:pPr>
              <w:pStyle w:val="Compact"/>
              <w:jc w:val="left"/>
            </w:pPr>
            <w:r>
              <w:t xml:space="preserve">0+12</w:t>
            </w:r>
          </w:p>
        </w:tc>
        <w:tc>
          <w:tcPr/>
          <w:p>
            <w:pPr>
              <w:pStyle w:val="Compact"/>
              <w:jc w:val="left"/>
            </w:pPr>
            <w:r>
              <w:t xml:space="preserve">down</w:t>
            </w:r>
          </w:p>
        </w:tc>
      </w:tr>
      <w:tr>
        <w:tc>
          <w:tcPr/>
          <w:p>
            <w:pPr>
              <w:pStyle w:val="Compact"/>
              <w:jc w:val="left"/>
            </w:pPr>
            <w:r>
              <w:t xml:space="preserve">moop_in_raw, moop_rank_in_county, moop_minus_county_min</w:t>
            </w:r>
          </w:p>
        </w:tc>
        <w:tc>
          <w:tcPr/>
          <w:p>
            <w:pPr>
              <w:pStyle w:val="Compact"/>
              <w:jc w:val="left"/>
            </w:pPr>
            <w:r>
              <w:t xml:space="preserve">dollars; rank; dollars</w:t>
            </w:r>
          </w:p>
        </w:tc>
        <w:tc>
          <w:tcPr/>
          <w:p>
            <w:pPr>
              <w:pStyle w:val="Compact"/>
              <w:jc w:val="left"/>
            </w:pPr>
            <w:r>
              <w:t xml:space="preserve">Landscape In-Network MOOP</w:t>
            </w:r>
          </w:p>
        </w:tc>
        <w:tc>
          <w:tcPr/>
          <w:p>
            <w:pPr>
              <w:pStyle w:val="Compact"/>
              <w:jc w:val="left"/>
            </w:pPr>
            <w:r>
              <w:t xml:space="preserve">0+12</w:t>
            </w:r>
          </w:p>
        </w:tc>
        <w:tc>
          <w:tcPr/>
          <w:p>
            <w:pPr>
              <w:pStyle w:val="Compact"/>
              <w:jc w:val="left"/>
            </w:pPr>
            <w:r>
              <w:t xml:space="preserve">lower MOOP up</w:t>
            </w:r>
          </w:p>
        </w:tc>
      </w:tr>
      <w:tr>
        <w:tc>
          <w:tcPr/>
          <w:p>
            <w:pPr>
              <w:pStyle w:val="Compact"/>
              <w:jc w:val="left"/>
            </w:pPr>
            <w:r>
              <w:t xml:space="preserve">moop_oon_raw</w:t>
            </w:r>
          </w:p>
        </w:tc>
        <w:tc>
          <w:tcPr/>
          <w:p>
            <w:pPr>
              <w:pStyle w:val="Compact"/>
              <w:jc w:val="left"/>
            </w:pPr>
            <w:r>
              <w:t xml:space="preserve">dollars, PPO only</w:t>
            </w:r>
          </w:p>
        </w:tc>
        <w:tc>
          <w:tcPr/>
          <w:p>
            <w:pPr>
              <w:pStyle w:val="Compact"/>
              <w:jc w:val="left"/>
            </w:pPr>
            <w:r>
              <w:t xml:space="preserve">PBP Section C</w:t>
            </w:r>
          </w:p>
        </w:tc>
        <w:tc>
          <w:tcPr/>
          <w:p>
            <w:pPr>
              <w:pStyle w:val="Compact"/>
              <w:jc w:val="left"/>
            </w:pPr>
            <w:r>
              <w:t xml:space="preserve">0+12</w:t>
            </w:r>
          </w:p>
        </w:tc>
        <w:tc>
          <w:tcPr/>
          <w:p>
            <w:pPr>
              <w:pStyle w:val="Compact"/>
              <w:jc w:val="left"/>
            </w:pPr>
            <w:r>
              <w:t xml:space="preserve">lower up</w:t>
            </w:r>
          </w:p>
        </w:tc>
      </w:tr>
      <w:tr>
        <w:tc>
          <w:tcPr/>
          <w:p>
            <w:pPr>
              <w:pStyle w:val="Compact"/>
              <w:jc w:val="left"/>
            </w:pPr>
            <w:r>
              <w:t xml:space="preserve">inpatient_copay_per_day, inpatient_days_charged, er_copay, specialist_copay, pcp_copay, snf_copay_day21</w:t>
            </w:r>
          </w:p>
        </w:tc>
        <w:tc>
          <w:tcPr/>
          <w:p>
            <w:pPr>
              <w:pStyle w:val="Compact"/>
              <w:jc w:val="left"/>
            </w:pPr>
            <w:r>
              <w:t xml:space="preserve">dollars</w:t>
            </w:r>
          </w:p>
        </w:tc>
        <w:tc>
          <w:tcPr/>
          <w:p>
            <w:pPr>
              <w:pStyle w:val="Compact"/>
              <w:jc w:val="left"/>
            </w:pPr>
            <w:r>
              <w:t xml:space="preserve">PBP Section B</w:t>
            </w:r>
          </w:p>
        </w:tc>
        <w:tc>
          <w:tcPr/>
          <w:p>
            <w:pPr>
              <w:pStyle w:val="Compact"/>
              <w:jc w:val="left"/>
            </w:pPr>
            <w:r>
              <w:t xml:space="preserve">0+12</w:t>
            </w:r>
          </w:p>
        </w:tc>
        <w:tc>
          <w:tcPr/>
          <w:p>
            <w:pPr>
              <w:pStyle w:val="Compact"/>
              <w:jc w:val="left"/>
            </w:pPr>
            <w:r>
              <w:t xml:space="preserve">richer (lower) up</w:t>
            </w:r>
          </w:p>
        </w:tc>
      </w:tr>
      <w:tr>
        <w:tc>
          <w:tcPr/>
          <w:p>
            <w:pPr>
              <w:pStyle w:val="Compact"/>
              <w:jc w:val="left"/>
            </w:pPr>
            <w:r>
              <w:t xml:space="preserve">partd_type</w:t>
            </w:r>
          </w:p>
        </w:tc>
        <w:tc>
          <w:tcPr/>
          <w:p>
            <w:pPr>
              <w:pStyle w:val="Compact"/>
              <w:jc w:val="left"/>
            </w:pPr>
            <w:r>
              <w:t xml:space="preserve">categorical: enhanced, basic, none (MA-only)</w:t>
            </w:r>
          </w:p>
        </w:tc>
        <w:tc>
          <w:tcPr/>
          <w:p>
            <w:pPr>
              <w:pStyle w:val="Compact"/>
              <w:jc w:val="left"/>
            </w:pPr>
            <w:r>
              <w:t xml:space="preserve">Landscape Drug Benefit Type</w:t>
            </w:r>
          </w:p>
        </w:tc>
        <w:tc>
          <w:tcPr/>
          <w:p>
            <w:pPr>
              <w:pStyle w:val="Compact"/>
              <w:jc w:val="left"/>
            </w:pPr>
            <w:r>
              <w:t xml:space="preserve">0+12</w:t>
            </w:r>
          </w:p>
        </w:tc>
        <w:tc>
          <w:tcPr/>
          <w:p>
            <w:pPr>
              <w:pStyle w:val="Compact"/>
              <w:jc w:val="left"/>
            </w:pPr>
            <w:r>
              <w:t xml:space="preserve">enhanced up; none distinct</w:t>
            </w:r>
          </w:p>
        </w:tc>
      </w:tr>
      <w:tr>
        <w:tc>
          <w:tcPr/>
          <w:p>
            <w:pPr>
              <w:pStyle w:val="Compact"/>
              <w:jc w:val="left"/>
            </w:pPr>
            <w:r>
              <w:t xml:space="preserve">partd_deductible, partd_tier_no_deductible</w:t>
            </w:r>
          </w:p>
        </w:tc>
        <w:tc>
          <w:tcPr/>
          <w:p>
            <w:pPr>
              <w:pStyle w:val="Compact"/>
              <w:jc w:val="left"/>
            </w:pPr>
            <w:r>
              <w:t xml:space="preserve">dollars; 0/1</w:t>
            </w:r>
          </w:p>
        </w:tc>
        <w:tc>
          <w:tcPr/>
          <w:p>
            <w:pPr>
              <w:pStyle w:val="Compact"/>
              <w:jc w:val="left"/>
            </w:pPr>
            <w:r>
              <w:t xml:space="preserve">Landscape</w:t>
            </w:r>
          </w:p>
        </w:tc>
        <w:tc>
          <w:tcPr/>
          <w:p>
            <w:pPr>
              <w:pStyle w:val="Compact"/>
              <w:jc w:val="left"/>
            </w:pPr>
            <w:r>
              <w:t xml:space="preserve">0+12</w:t>
            </w:r>
          </w:p>
        </w:tc>
        <w:tc>
          <w:tcPr/>
          <w:p>
            <w:pPr>
              <w:pStyle w:val="Compact"/>
              <w:jc w:val="left"/>
            </w:pPr>
            <w:r>
              <w:t xml:space="preserve">$0 deductible up</w:t>
            </w:r>
          </w:p>
        </w:tc>
      </w:tr>
      <w:tr>
        <w:tc>
          <w:tcPr/>
          <w:p>
            <w:pPr>
              <w:pStyle w:val="Compact"/>
              <w:jc w:val="left"/>
            </w:pPr>
            <w:r>
              <w:t xml:space="preserve">otc_allowance_amount, flex_card_amount, healthy_food_flag, utilities_flag</w:t>
            </w:r>
          </w:p>
        </w:tc>
        <w:tc>
          <w:tcPr/>
          <w:p>
            <w:pPr>
              <w:pStyle w:val="Compact"/>
              <w:jc w:val="left"/>
            </w:pPr>
            <w:r>
              <w:t xml:space="preserve">dollars per quarter; flags</w:t>
            </w:r>
          </w:p>
        </w:tc>
        <w:tc>
          <w:tcPr/>
          <w:p>
            <w:pPr>
              <w:pStyle w:val="Compact"/>
              <w:jc w:val="left"/>
            </w:pPr>
            <w:r>
              <w:t xml:space="preserve">PBP B13, SSBCI</w:t>
            </w:r>
          </w:p>
        </w:tc>
        <w:tc>
          <w:tcPr/>
          <w:p>
            <w:pPr>
              <w:pStyle w:val="Compact"/>
              <w:jc w:val="left"/>
            </w:pPr>
            <w:r>
              <w:t xml:space="preserve">0+12</w:t>
            </w:r>
          </w:p>
        </w:tc>
        <w:tc>
          <w:tcPr/>
          <w:p>
            <w:pPr>
              <w:pStyle w:val="Compact"/>
              <w:jc w:val="left"/>
            </w:pPr>
            <w:r>
              <w:t xml:space="preserve">higher up (D-SNP)</w:t>
            </w:r>
          </w:p>
        </w:tc>
      </w:tr>
      <w:tr>
        <w:tc>
          <w:tcPr/>
          <w:p>
            <w:pPr>
              <w:pStyle w:val="Compact"/>
              <w:jc w:val="left"/>
            </w:pPr>
            <w:r>
              <w:t xml:space="preserve">ssbci_eligible_flag</w:t>
            </w:r>
          </w:p>
        </w:tc>
        <w:tc>
          <w:tcPr/>
          <w:p>
            <w:pPr>
              <w:pStyle w:val="Compact"/>
              <w:jc w:val="left"/>
            </w:pPr>
            <w:r>
              <w:t xml:space="preserve">0/1 member-level eligibility (requires documented condition from 2026)</w:t>
            </w:r>
          </w:p>
        </w:tc>
        <w:tc>
          <w:tcPr/>
          <w:p>
            <w:pPr>
              <w:pStyle w:val="Compact"/>
              <w:jc w:val="left"/>
            </w:pPr>
            <w:r>
              <w:t xml:space="preserve">Plan eligibility determination</w:t>
            </w:r>
          </w:p>
        </w:tc>
        <w:tc>
          <w:tcPr/>
          <w:p>
            <w:pPr>
              <w:pStyle w:val="Compact"/>
              <w:jc w:val="left"/>
            </w:pPr>
            <w:r>
              <w:t xml:space="preserve">2+10</w:t>
            </w:r>
          </w:p>
        </w:tc>
        <w:tc>
          <w:tcPr/>
          <w:p>
            <w:pPr>
              <w:pStyle w:val="Compact"/>
              <w:jc w:val="left"/>
            </w:pPr>
            <w:r>
              <w:t xml:space="preserve">strongly up</w:t>
            </w:r>
          </w:p>
        </w:tc>
      </w:tr>
      <w:tr>
        <w:tc>
          <w:tcPr/>
          <w:p>
            <w:pPr>
              <w:pStyle w:val="Compact"/>
              <w:jc w:val="left"/>
            </w:pPr>
            <w:r>
              <w:t xml:space="preserve">dental_allowance, vision_allowance, hearing_copay_min</w:t>
            </w:r>
          </w:p>
        </w:tc>
        <w:tc>
          <w:tcPr/>
          <w:p>
            <w:pPr>
              <w:pStyle w:val="Compact"/>
              <w:jc w:val="left"/>
            </w:pPr>
            <w:r>
              <w:t xml:space="preserve">dollars</w:t>
            </w:r>
          </w:p>
        </w:tc>
        <w:tc>
          <w:tcPr/>
          <w:p>
            <w:pPr>
              <w:pStyle w:val="Compact"/>
              <w:jc w:val="left"/>
            </w:pPr>
            <w:r>
              <w:t xml:space="preserve">PBP B16 to B18</w:t>
            </w:r>
          </w:p>
        </w:tc>
        <w:tc>
          <w:tcPr/>
          <w:p>
            <w:pPr>
              <w:pStyle w:val="Compact"/>
              <w:jc w:val="left"/>
            </w:pPr>
            <w:r>
              <w:t xml:space="preserve">0+12</w:t>
            </w:r>
          </w:p>
        </w:tc>
        <w:tc>
          <w:tcPr/>
          <w:p>
            <w:pPr>
              <w:pStyle w:val="Compact"/>
              <w:jc w:val="left"/>
            </w:pPr>
            <w:r>
              <w:t xml:space="preserve">weak</w:t>
            </w:r>
          </w:p>
        </w:tc>
      </w:tr>
      <w:tr>
        <w:tc>
          <w:tcPr/>
          <w:p>
            <w:pPr>
              <w:pStyle w:val="Compact"/>
              <w:jc w:val="left"/>
            </w:pPr>
            <w:r>
              <w:t xml:space="preserve">meals_flag, transportation_flag, transport_trips</w:t>
            </w:r>
          </w:p>
        </w:tc>
        <w:tc>
          <w:tcPr/>
          <w:p>
            <w:pPr>
              <w:pStyle w:val="Compact"/>
              <w:jc w:val="left"/>
            </w:pPr>
            <w:r>
              <w:t xml:space="preserve">flags; count</w:t>
            </w:r>
          </w:p>
        </w:tc>
        <w:tc>
          <w:tcPr/>
          <w:p>
            <w:pPr>
              <w:pStyle w:val="Compact"/>
              <w:jc w:val="left"/>
            </w:pPr>
            <w:r>
              <w:t xml:space="preserve">PBP B13c, B10b</w:t>
            </w:r>
          </w:p>
        </w:tc>
        <w:tc>
          <w:tcPr/>
          <w:p>
            <w:pPr>
              <w:pStyle w:val="Compact"/>
              <w:jc w:val="left"/>
            </w:pPr>
            <w:r>
              <w:t xml:space="preserve">0+12</w:t>
            </w:r>
          </w:p>
        </w:tc>
        <w:tc>
          <w:tcPr/>
          <w:p>
            <w:pPr>
              <w:pStyle w:val="Compact"/>
              <w:jc w:val="left"/>
            </w:pPr>
            <w:r>
              <w:t xml:space="preserve">up</w:t>
            </w:r>
          </w:p>
        </w:tc>
      </w:tr>
      <w:tr>
        <w:tc>
          <w:tcPr/>
          <w:p>
            <w:pPr>
              <w:pStyle w:val="Compact"/>
              <w:jc w:val="left"/>
            </w:pPr>
            <w:r>
              <w:t xml:space="preserve">osb_purchased</w:t>
            </w:r>
          </w:p>
        </w:tc>
        <w:tc>
          <w:tcPr/>
          <w:p>
            <w:pPr>
              <w:pStyle w:val="Compact"/>
              <w:jc w:val="left"/>
            </w:pPr>
            <w:r>
              <w:t xml:space="preserve">0/1; rider type</w:t>
            </w:r>
          </w:p>
        </w:tc>
        <w:tc>
          <w:tcPr/>
          <w:p>
            <w:pPr>
              <w:pStyle w:val="Compact"/>
              <w:jc w:val="left"/>
            </w:pPr>
            <w:r>
              <w:t xml:space="preserve">Enrollment optional benefits</w:t>
            </w:r>
          </w:p>
        </w:tc>
        <w:tc>
          <w:tcPr/>
          <w:p>
            <w:pPr>
              <w:pStyle w:val="Compact"/>
              <w:jc w:val="left"/>
            </w:pPr>
            <w:r>
              <w:t xml:space="preserve">0+12</w:t>
            </w:r>
          </w:p>
        </w:tc>
        <w:tc>
          <w:tcPr/>
          <w:p>
            <w:pPr>
              <w:pStyle w:val="Compact"/>
              <w:jc w:val="left"/>
            </w:pPr>
            <w:r>
              <w:t xml:space="preserve">up</w:t>
            </w:r>
          </w:p>
        </w:tc>
      </w:tr>
      <w:tr>
        <w:tc>
          <w:tcPr/>
          <w:p>
            <w:pPr>
              <w:pStyle w:val="Compact"/>
              <w:jc w:val="left"/>
            </w:pPr>
            <w:r>
              <w:t xml:space="preserve">plan_star_rating</w:t>
            </w:r>
          </w:p>
        </w:tc>
        <w:tc>
          <w:tcPr/>
          <w:p>
            <w:pPr>
              <w:pStyle w:val="Compact"/>
              <w:jc w:val="left"/>
            </w:pPr>
            <w:r>
              <w:t xml:space="preserve">2.0 to 5.0</w:t>
            </w:r>
          </w:p>
        </w:tc>
        <w:tc>
          <w:tcPr/>
          <w:p>
            <w:pPr>
              <w:pStyle w:val="Compact"/>
              <w:jc w:val="left"/>
            </w:pPr>
            <w:r>
              <w:t xml:space="preserve">Star Ratings by contract and year</w:t>
            </w:r>
          </w:p>
        </w:tc>
        <w:tc>
          <w:tcPr/>
          <w:p>
            <w:pPr>
              <w:pStyle w:val="Compact"/>
              <w:jc w:val="left"/>
            </w:pPr>
            <w:r>
              <w:t xml:space="preserve">0+12</w:t>
            </w:r>
          </w:p>
        </w:tc>
        <w:tc>
          <w:tcPr/>
          <w:p>
            <w:pPr>
              <w:pStyle w:val="Compact"/>
              <w:jc w:val="left"/>
            </w:pPr>
            <w:r>
              <w:t xml:space="preserve">weak; interacts with 5-star SEP</w:t>
            </w:r>
          </w:p>
        </w:tc>
      </w:tr>
      <w:tr>
        <w:tc>
          <w:tcPr/>
          <w:p>
            <w:pPr>
              <w:pStyle w:val="Compact"/>
              <w:jc w:val="left"/>
            </w:pPr>
            <w:r>
              <w:t xml:space="preserve">plan_age_years, plan_enrollment_county, plan_share_of_county</w:t>
            </w:r>
          </w:p>
        </w:tc>
        <w:tc>
          <w:tcPr/>
          <w:p>
            <w:pPr>
              <w:pStyle w:val="Compact"/>
              <w:jc w:val="left"/>
            </w:pPr>
            <w:r>
              <w:t xml:space="preserve">years since PBP first offered; members; share</w:t>
            </w:r>
          </w:p>
        </w:tc>
        <w:tc>
          <w:tcPr/>
          <w:p>
            <w:pPr>
              <w:pStyle w:val="Compact"/>
              <w:jc w:val="left"/>
            </w:pPr>
            <w:r>
              <w:t xml:space="preserve">CPSC enrollment; crosswalk</w:t>
            </w:r>
          </w:p>
        </w:tc>
        <w:tc>
          <w:tcPr/>
          <w:p>
            <w:pPr>
              <w:pStyle w:val="Compact"/>
              <w:jc w:val="left"/>
            </w:pPr>
            <w:r>
              <w:t xml:space="preserve">0+12</w:t>
            </w:r>
          </w:p>
        </w:tc>
        <w:tc>
          <w:tcPr/>
          <w:p>
            <w:pPr>
              <w:pStyle w:val="Compact"/>
              <w:jc w:val="left"/>
            </w:pPr>
            <w:r>
              <w:t xml:space="preserve">new plans attract switchers</w:t>
            </w:r>
          </w:p>
        </w:tc>
      </w:tr>
      <w:tr>
        <w:tc>
          <w:tcPr/>
          <w:p>
            <w:pPr>
              <w:pStyle w:val="Compact"/>
              <w:jc w:val="left"/>
            </w:pPr>
            <w:r>
              <w:t xml:space="preserve">county_plan_count, county_min_premium, county_min_moop, county_giveback_share</w:t>
            </w:r>
          </w:p>
        </w:tc>
        <w:tc>
          <w:tcPr/>
          <w:p>
            <w:pPr>
              <w:pStyle w:val="Compact"/>
              <w:jc w:val="left"/>
            </w:pPr>
            <w:r>
              <w:t xml:space="preserve">per county-year</w:t>
            </w:r>
          </w:p>
        </w:tc>
        <w:tc>
          <w:tcPr/>
          <w:p>
            <w:pPr>
              <w:pStyle w:val="Compact"/>
              <w:jc w:val="left"/>
            </w:pPr>
            <w:r>
              <w:t xml:space="preserve">dim_county_plan_market</w:t>
            </w:r>
          </w:p>
        </w:tc>
        <w:tc>
          <w:tcPr/>
          <w:p>
            <w:pPr>
              <w:pStyle w:val="Compact"/>
              <w:jc w:val="left"/>
            </w:pPr>
            <w:r>
              <w:t xml:space="preserve">0+12</w:t>
            </w:r>
          </w:p>
        </w:tc>
        <w:tc>
          <w:tcPr/>
          <w:p>
            <w:pPr>
              <w:pStyle w:val="Compact"/>
              <w:jc w:val="left"/>
            </w:pPr>
            <w:r>
              <w:t xml:space="preserve">context for relatives</w:t>
            </w:r>
          </w:p>
        </w:tc>
      </w:tr>
    </w:tbl>
    <w:p>
      <w:pPr>
        <w:pStyle w:val="BodyText"/>
      </w:pPr>
      <w:r>
        <w:rPr>
          <w:bCs/>
          <w:b/>
        </w:rPr>
        <w:t xml:space="preserve">Tier 4: provider and household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Encoding</w:t>
            </w:r>
          </w:p>
        </w:tc>
        <w:tc>
          <w:tcPr/>
          <w:p>
            <w:pPr>
              <w:pStyle w:val="Compact"/>
              <w:jc w:val="left"/>
            </w:pPr>
            <w:r>
              <w:t xml:space="preserve">Source</w:t>
            </w:r>
          </w:p>
        </w:tc>
        <w:tc>
          <w:tcPr/>
          <w:p>
            <w:pPr>
              <w:pStyle w:val="Compact"/>
              <w:jc w:val="left"/>
            </w:pPr>
            <w:r>
              <w:t xml:space="preserve">Horizon</w:t>
            </w:r>
          </w:p>
        </w:tc>
        <w:tc>
          <w:tcPr/>
          <w:p>
            <w:pPr>
              <w:pStyle w:val="Compact"/>
              <w:jc w:val="left"/>
            </w:pPr>
            <w:r>
              <w:t xml:space="preserve">Direction</w:t>
            </w:r>
          </w:p>
        </w:tc>
      </w:tr>
      <w:tr>
        <w:tc>
          <w:tcPr/>
          <w:p>
            <w:pPr>
              <w:pStyle w:val="Compact"/>
              <w:jc w:val="left"/>
            </w:pPr>
            <w:r>
              <w:t xml:space="preserve">pcp_assigned_flag, pcp_chosen_vs_auto</w:t>
            </w:r>
          </w:p>
        </w:tc>
        <w:tc>
          <w:tcPr/>
          <w:p>
            <w:pPr>
              <w:pStyle w:val="Compact"/>
              <w:jc w:val="left"/>
            </w:pPr>
            <w:r>
              <w:t xml:space="preserve">0/1; categorical</w:t>
            </w:r>
          </w:p>
        </w:tc>
        <w:tc>
          <w:tcPr/>
          <w:p>
            <w:pPr>
              <w:pStyle w:val="Compact"/>
              <w:jc w:val="left"/>
            </w:pPr>
            <w:r>
              <w:t xml:space="preserve">PCP assignment table</w:t>
            </w:r>
          </w:p>
        </w:tc>
        <w:tc>
          <w:tcPr/>
          <w:p>
            <w:pPr>
              <w:pStyle w:val="Compact"/>
              <w:jc w:val="left"/>
            </w:pPr>
            <w:r>
              <w:t xml:space="preserve">0+12</w:t>
            </w:r>
          </w:p>
        </w:tc>
        <w:tc>
          <w:tcPr/>
          <w:p>
            <w:pPr>
              <w:pStyle w:val="Compact"/>
              <w:jc w:val="left"/>
            </w:pPr>
            <w:r>
              <w:t xml:space="preserve">chosen up</w:t>
            </w:r>
          </w:p>
        </w:tc>
      </w:tr>
      <w:tr>
        <w:tc>
          <w:tcPr/>
          <w:p>
            <w:pPr>
              <w:pStyle w:val="Compact"/>
              <w:jc w:val="left"/>
            </w:pPr>
            <w:r>
              <w:t xml:space="preserve">pcp_panel_avg_raf, pcp_panel_size</w:t>
            </w:r>
          </w:p>
        </w:tc>
        <w:tc>
          <w:tcPr/>
          <w:p>
            <w:pPr>
              <w:pStyle w:val="Compact"/>
              <w:jc w:val="left"/>
            </w:pPr>
            <w:r>
              <w:t xml:space="preserve">out-of-fold mean RAF of the PCP’s existing UHC members; count</w:t>
            </w:r>
          </w:p>
        </w:tc>
        <w:tc>
          <w:tcPr/>
          <w:p>
            <w:pPr>
              <w:pStyle w:val="Compact"/>
              <w:jc w:val="left"/>
            </w:pPr>
            <w:r>
              <w:t xml:space="preserve">Claims, MMR</w:t>
            </w:r>
          </w:p>
        </w:tc>
        <w:tc>
          <w:tcPr/>
          <w:p>
            <w:pPr>
              <w:pStyle w:val="Compact"/>
              <w:jc w:val="left"/>
            </w:pPr>
            <w:r>
              <w:t xml:space="preserve">0+12</w:t>
            </w:r>
          </w:p>
        </w:tc>
        <w:tc>
          <w:tcPr/>
          <w:p>
            <w:pPr>
              <w:pStyle w:val="Compact"/>
              <w:jc w:val="left"/>
            </w:pPr>
            <w:r>
              <w:t xml:space="preserve">strongly up</w:t>
            </w:r>
          </w:p>
        </w:tc>
      </w:tr>
      <w:tr>
        <w:tc>
          <w:tcPr/>
          <w:p>
            <w:pPr>
              <w:pStyle w:val="Compact"/>
              <w:jc w:val="left"/>
            </w:pPr>
            <w:r>
              <w:t xml:space="preserve">pcp_specialty, pcp_fqhc, pcp_value_based_flag</w:t>
            </w:r>
          </w:p>
        </w:tc>
        <w:tc>
          <w:tcPr/>
          <w:p>
            <w:pPr>
              <w:pStyle w:val="Compact"/>
              <w:jc w:val="left"/>
            </w:pPr>
            <w:r>
              <w:t xml:space="preserve">categoricals</w:t>
            </w:r>
          </w:p>
        </w:tc>
        <w:tc>
          <w:tcPr/>
          <w:p>
            <w:pPr>
              <w:pStyle w:val="Compact"/>
              <w:jc w:val="left"/>
            </w:pPr>
            <w:r>
              <w:t xml:space="preserve">Provider master</w:t>
            </w:r>
          </w:p>
        </w:tc>
        <w:tc>
          <w:tcPr/>
          <w:p>
            <w:pPr>
              <w:pStyle w:val="Compact"/>
              <w:jc w:val="left"/>
            </w:pPr>
            <w:r>
              <w:t xml:space="preserve">0+12</w:t>
            </w:r>
          </w:p>
        </w:tc>
        <w:tc>
          <w:tcPr/>
          <w:p>
            <w:pPr>
              <w:pStyle w:val="Compact"/>
              <w:jc w:val="left"/>
            </w:pPr>
            <w:r>
              <w:t xml:space="preserve">geriatrics, FQHC up</w:t>
            </w:r>
          </w:p>
        </w:tc>
      </w:tr>
      <w:tr>
        <w:tc>
          <w:tcPr/>
          <w:p>
            <w:pPr>
              <w:pStyle w:val="Compact"/>
              <w:jc w:val="left"/>
            </w:pPr>
            <w:r>
              <w:t xml:space="preserve">pcp_distance_km</w:t>
            </w:r>
          </w:p>
        </w:tc>
        <w:tc>
          <w:tcPr/>
          <w:p>
            <w:pPr>
              <w:pStyle w:val="Compact"/>
              <w:jc w:val="left"/>
            </w:pPr>
            <w:r>
              <w:t xml:space="preserve">km from member ZIP centroid</w:t>
            </w:r>
          </w:p>
        </w:tc>
        <w:tc>
          <w:tcPr/>
          <w:p>
            <w:pPr>
              <w:pStyle w:val="Compact"/>
              <w:jc w:val="left"/>
            </w:pPr>
            <w:r>
              <w:t xml:space="preserve">Geocoded</w:t>
            </w:r>
          </w:p>
        </w:tc>
        <w:tc>
          <w:tcPr/>
          <w:p>
            <w:pPr>
              <w:pStyle w:val="Compact"/>
              <w:jc w:val="left"/>
            </w:pPr>
            <w:r>
              <w:t xml:space="preserve">0+12</w:t>
            </w:r>
          </w:p>
        </w:tc>
        <w:tc>
          <w:tcPr/>
          <w:p>
            <w:pPr>
              <w:pStyle w:val="Compact"/>
              <w:jc w:val="left"/>
            </w:pPr>
            <w:r>
              <w:t xml:space="preserve">far distance up (rural)</w:t>
            </w:r>
          </w:p>
        </w:tc>
      </w:tr>
      <w:tr>
        <w:tc>
          <w:tcPr/>
          <w:p>
            <w:pPr>
              <w:pStyle w:val="Compact"/>
              <w:jc w:val="left"/>
            </w:pPr>
            <w:r>
              <w:t xml:space="preserve">household_members_enrolled, spouse_raf</w:t>
            </w:r>
          </w:p>
        </w:tc>
        <w:tc>
          <w:tcPr/>
          <w:p>
            <w:pPr>
              <w:pStyle w:val="Compact"/>
              <w:jc w:val="left"/>
            </w:pPr>
            <w:r>
              <w:t xml:space="preserve">count; spouse’s RAF if enrolled</w:t>
            </w:r>
          </w:p>
        </w:tc>
        <w:tc>
          <w:tcPr/>
          <w:p>
            <w:pPr>
              <w:pStyle w:val="Compact"/>
              <w:jc w:val="left"/>
            </w:pPr>
            <w:r>
              <w:t xml:space="preserve">Member match on address and name</w:t>
            </w:r>
          </w:p>
        </w:tc>
        <w:tc>
          <w:tcPr/>
          <w:p>
            <w:pPr>
              <w:pStyle w:val="Compact"/>
              <w:jc w:val="left"/>
            </w:pPr>
            <w:r>
              <w:t xml:space="preserve">0+12</w:t>
            </w:r>
          </w:p>
        </w:tc>
        <w:tc>
          <w:tcPr/>
          <w:p>
            <w:pPr>
              <w:pStyle w:val="Compact"/>
              <w:jc w:val="left"/>
            </w:pPr>
            <w:r>
              <w:t xml:space="preserve">up</w:t>
            </w:r>
          </w:p>
        </w:tc>
      </w:tr>
      <w:tr>
        <w:tc>
          <w:tcPr/>
          <w:p>
            <w:pPr>
              <w:pStyle w:val="Compact"/>
              <w:jc w:val="left"/>
            </w:pPr>
            <w:r>
              <w:t xml:space="preserve">language_pref, accessibility_request</w:t>
            </w:r>
          </w:p>
        </w:tc>
        <w:tc>
          <w:tcPr/>
          <w:p>
            <w:pPr>
              <w:pStyle w:val="Compact"/>
              <w:jc w:val="left"/>
            </w:pPr>
            <w:r>
              <w:t xml:space="preserve">categoricals</w:t>
            </w:r>
          </w:p>
        </w:tc>
        <w:tc>
          <w:tcPr/>
          <w:p>
            <w:pPr>
              <w:pStyle w:val="Compact"/>
              <w:jc w:val="left"/>
            </w:pPr>
            <w:r>
              <w:t xml:space="preserve">Enrollment</w:t>
            </w:r>
          </w:p>
        </w:tc>
        <w:tc>
          <w:tcPr/>
          <w:p>
            <w:pPr>
              <w:pStyle w:val="Compact"/>
              <w:jc w:val="left"/>
            </w:pPr>
            <w:r>
              <w:t xml:space="preserve">0+12</w:t>
            </w:r>
          </w:p>
        </w:tc>
        <w:tc>
          <w:tcPr/>
          <w:p>
            <w:pPr>
              <w:pStyle w:val="Compact"/>
              <w:jc w:val="left"/>
            </w:pPr>
            <w:r>
              <w:t xml:space="preserve">fairness review before use</w:t>
            </w:r>
          </w:p>
        </w:tc>
      </w:tr>
    </w:tbl>
    <w:p>
      <w:pPr>
        <w:pStyle w:val="BodyText"/>
      </w:pPr>
      <w:r>
        <w:rPr>
          <w:bCs/>
          <w:b/>
        </w:rPr>
        <w:t xml:space="preserve">Tier 5: operational signals before claims (2+10 and later)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Encoding</w:t>
            </w:r>
          </w:p>
        </w:tc>
        <w:tc>
          <w:tcPr/>
          <w:p>
            <w:pPr>
              <w:pStyle w:val="Compact"/>
              <w:jc w:val="left"/>
            </w:pPr>
            <w:r>
              <w:t xml:space="preserve">Source</w:t>
            </w:r>
          </w:p>
        </w:tc>
        <w:tc>
          <w:tcPr/>
          <w:p>
            <w:pPr>
              <w:pStyle w:val="Compact"/>
              <w:jc w:val="left"/>
            </w:pPr>
            <w:r>
              <w:t xml:space="preserve">Horizon</w:t>
            </w:r>
          </w:p>
        </w:tc>
        <w:tc>
          <w:tcPr/>
          <w:p>
            <w:pPr>
              <w:pStyle w:val="Compact"/>
              <w:jc w:val="left"/>
            </w:pPr>
            <w:r>
              <w:t xml:space="preserve">Direction</w:t>
            </w:r>
          </w:p>
        </w:tc>
      </w:tr>
      <w:tr>
        <w:tc>
          <w:tcPr/>
          <w:p>
            <w:pPr>
              <w:pStyle w:val="Compact"/>
              <w:jc w:val="left"/>
            </w:pPr>
            <w:r>
              <w:t xml:space="preserve">prior_auth_count_60d, prior_auth_category</w:t>
            </w:r>
          </w:p>
        </w:tc>
        <w:tc>
          <w:tcPr/>
          <w:p>
            <w:pPr>
              <w:pStyle w:val="Compact"/>
              <w:jc w:val="left"/>
            </w:pPr>
            <w:r>
              <w:t xml:space="preserve">count; categorical (oncology drug, DME oxygen, joint replacement, imaging, SNF, home health)</w:t>
            </w:r>
          </w:p>
        </w:tc>
        <w:tc>
          <w:tcPr/>
          <w:p>
            <w:pPr>
              <w:pStyle w:val="Compact"/>
              <w:jc w:val="left"/>
            </w:pPr>
            <w:r>
              <w:t xml:space="preserve">UM system</w:t>
            </w:r>
          </w:p>
        </w:tc>
        <w:tc>
          <w:tcPr/>
          <w:p>
            <w:pPr>
              <w:pStyle w:val="Compact"/>
              <w:jc w:val="left"/>
            </w:pPr>
            <w:r>
              <w:t xml:space="preserve">2+10</w:t>
            </w:r>
          </w:p>
        </w:tc>
        <w:tc>
          <w:tcPr/>
          <w:p>
            <w:pPr>
              <w:pStyle w:val="Compact"/>
              <w:jc w:val="left"/>
            </w:pPr>
            <w:r>
              <w:t xml:space="preserve">strongly up by category</w:t>
            </w:r>
          </w:p>
        </w:tc>
      </w:tr>
      <w:tr>
        <w:tc>
          <w:tcPr/>
          <w:p>
            <w:pPr>
              <w:pStyle w:val="Compact"/>
              <w:jc w:val="left"/>
            </w:pPr>
            <w:r>
              <w:t xml:space="preserve">transition_fill_count, transition_fill_classes</w:t>
            </w:r>
          </w:p>
        </w:tc>
        <w:tc>
          <w:tcPr/>
          <w:p>
            <w:pPr>
              <w:pStyle w:val="Compact"/>
              <w:jc w:val="left"/>
            </w:pPr>
            <w:r>
              <w:t xml:space="preserve">count; drug classes (insulin, anticoag, oncology, antipsychotic)</w:t>
            </w:r>
          </w:p>
        </w:tc>
        <w:tc>
          <w:tcPr/>
          <w:p>
            <w:pPr>
              <w:pStyle w:val="Compact"/>
              <w:jc w:val="left"/>
            </w:pPr>
            <w:r>
              <w:t xml:space="preserve">Part D PDE</w:t>
            </w:r>
          </w:p>
        </w:tc>
        <w:tc>
          <w:tcPr/>
          <w:p>
            <w:pPr>
              <w:pStyle w:val="Compact"/>
              <w:jc w:val="left"/>
            </w:pPr>
            <w:r>
              <w:t xml:space="preserve">2+10</w:t>
            </w:r>
          </w:p>
        </w:tc>
        <w:tc>
          <w:tcPr/>
          <w:p>
            <w:pPr>
              <w:pStyle w:val="Compact"/>
              <w:jc w:val="left"/>
            </w:pPr>
            <w:r>
              <w:t xml:space="preserve">up</w:t>
            </w:r>
          </w:p>
        </w:tc>
      </w:tr>
      <w:tr>
        <w:tc>
          <w:tcPr/>
          <w:p>
            <w:pPr>
              <w:pStyle w:val="Compact"/>
              <w:jc w:val="left"/>
            </w:pPr>
            <w:r>
              <w:t xml:space="preserve">rx_fills_month1_2, rx_distinct_classes, rx_specialty_tier_flag</w:t>
            </w:r>
          </w:p>
        </w:tc>
        <w:tc>
          <w:tcPr/>
          <w:p>
            <w:pPr>
              <w:pStyle w:val="Compact"/>
              <w:jc w:val="left"/>
            </w:pPr>
            <w:r>
              <w:t xml:space="preserve">counts; flag</w:t>
            </w:r>
          </w:p>
        </w:tc>
        <w:tc>
          <w:tcPr/>
          <w:p>
            <w:pPr>
              <w:pStyle w:val="Compact"/>
              <w:jc w:val="left"/>
            </w:pPr>
            <w:r>
              <w:t xml:space="preserve">PDE (near real time)</w:t>
            </w:r>
          </w:p>
        </w:tc>
        <w:tc>
          <w:tcPr/>
          <w:p>
            <w:pPr>
              <w:pStyle w:val="Compact"/>
              <w:jc w:val="left"/>
            </w:pPr>
            <w:r>
              <w:t xml:space="preserve">2+10</w:t>
            </w:r>
          </w:p>
        </w:tc>
        <w:tc>
          <w:tcPr/>
          <w:p>
            <w:pPr>
              <w:pStyle w:val="Compact"/>
              <w:jc w:val="left"/>
            </w:pPr>
            <w:r>
              <w:t xml:space="preserve">up</w:t>
            </w:r>
          </w:p>
        </w:tc>
      </w:tr>
      <w:tr>
        <w:tc>
          <w:tcPr/>
          <w:p>
            <w:pPr>
              <w:pStyle w:val="Compact"/>
              <w:jc w:val="left"/>
            </w:pPr>
            <w:r>
              <w:t xml:space="preserve">hra_completed, hra_self_reported_conditions, hra_adl_count, hra_falls, hra_hosp_past_year</w:t>
            </w:r>
          </w:p>
        </w:tc>
        <w:tc>
          <w:tcPr/>
          <w:p>
            <w:pPr>
              <w:pStyle w:val="Compact"/>
              <w:jc w:val="left"/>
            </w:pPr>
            <w:r>
              <w:t xml:space="preserve">0/1; counts</w:t>
            </w:r>
          </w:p>
        </w:tc>
        <w:tc>
          <w:tcPr/>
          <w:p>
            <w:pPr>
              <w:pStyle w:val="Compact"/>
              <w:jc w:val="left"/>
            </w:pPr>
            <w:r>
              <w:t xml:space="preserve">HRA system (SNPs within 90 days)</w:t>
            </w:r>
          </w:p>
        </w:tc>
        <w:tc>
          <w:tcPr/>
          <w:p>
            <w:pPr>
              <w:pStyle w:val="Compact"/>
              <w:jc w:val="left"/>
            </w:pPr>
            <w:r>
              <w:t xml:space="preserve">2+10</w:t>
            </w:r>
          </w:p>
        </w:tc>
        <w:tc>
          <w:tcPr/>
          <w:p>
            <w:pPr>
              <w:pStyle w:val="Compact"/>
              <w:jc w:val="left"/>
            </w:pPr>
            <w:r>
              <w:t xml:space="preserve">strongly up</w:t>
            </w:r>
          </w:p>
        </w:tc>
      </w:tr>
      <w:tr>
        <w:tc>
          <w:tcPr/>
          <w:p>
            <w:pPr>
              <w:pStyle w:val="Compact"/>
              <w:jc w:val="left"/>
            </w:pPr>
            <w:r>
              <w:t xml:space="preserve">welcome_call_outcome, nurse_line_calls, care_mgmt_referral</w:t>
            </w:r>
          </w:p>
        </w:tc>
        <w:tc>
          <w:tcPr/>
          <w:p>
            <w:pPr>
              <w:pStyle w:val="Compact"/>
              <w:jc w:val="left"/>
            </w:pPr>
            <w:r>
              <w:t xml:space="preserve">categoricals; counts</w:t>
            </w:r>
          </w:p>
        </w:tc>
        <w:tc>
          <w:tcPr/>
          <w:p>
            <w:pPr>
              <w:pStyle w:val="Compact"/>
              <w:jc w:val="left"/>
            </w:pPr>
            <w:r>
              <w:t xml:space="preserve">Engagement systems</w:t>
            </w:r>
          </w:p>
        </w:tc>
        <w:tc>
          <w:tcPr/>
          <w:p>
            <w:pPr>
              <w:pStyle w:val="Compact"/>
              <w:jc w:val="left"/>
            </w:pPr>
            <w:r>
              <w:t xml:space="preserve">2+10</w:t>
            </w:r>
          </w:p>
        </w:tc>
        <w:tc>
          <w:tcPr/>
          <w:p>
            <w:pPr>
              <w:pStyle w:val="Compact"/>
              <w:jc w:val="left"/>
            </w:pPr>
            <w:r>
              <w:t xml:space="preserve">up</w:t>
            </w:r>
          </w:p>
        </w:tc>
      </w:tr>
      <w:tr>
        <w:tc>
          <w:tcPr/>
          <w:p>
            <w:pPr>
              <w:pStyle w:val="Compact"/>
              <w:jc w:val="left"/>
            </w:pPr>
            <w:r>
              <w:t xml:space="preserve">ucard_transactions, ucard_categories</w:t>
            </w:r>
          </w:p>
        </w:tc>
        <w:tc>
          <w:tcPr/>
          <w:p>
            <w:pPr>
              <w:pStyle w:val="Compact"/>
              <w:jc w:val="left"/>
            </w:pPr>
            <w:r>
              <w:t xml:space="preserve">count; categories</w:t>
            </w:r>
          </w:p>
        </w:tc>
        <w:tc>
          <w:tcPr/>
          <w:p>
            <w:pPr>
              <w:pStyle w:val="Compact"/>
              <w:jc w:val="left"/>
            </w:pPr>
            <w:r>
              <w:t xml:space="preserve">UCard</w:t>
            </w:r>
          </w:p>
        </w:tc>
        <w:tc>
          <w:tcPr/>
          <w:p>
            <w:pPr>
              <w:pStyle w:val="Compact"/>
              <w:jc w:val="left"/>
            </w:pPr>
            <w:r>
              <w:t xml:space="preserve">2+10</w:t>
            </w:r>
          </w:p>
        </w:tc>
        <w:tc>
          <w:tcPr/>
          <w:p>
            <w:pPr>
              <w:pStyle w:val="Compact"/>
              <w:jc w:val="left"/>
            </w:pPr>
            <w:r>
              <w:t xml:space="preserve">engagement signal</w:t>
            </w:r>
          </w:p>
        </w:tc>
      </w:tr>
      <w:tr>
        <w:tc>
          <w:tcPr/>
          <w:p>
            <w:pPr>
              <w:pStyle w:val="Compact"/>
              <w:jc w:val="left"/>
            </w:pPr>
            <w:r>
              <w:t xml:space="preserve">premium_payment_method, first_payment_missed</w:t>
            </w:r>
          </w:p>
        </w:tc>
        <w:tc>
          <w:tcPr/>
          <w:p>
            <w:pPr>
              <w:pStyle w:val="Compact"/>
              <w:jc w:val="left"/>
            </w:pPr>
            <w:r>
              <w:t xml:space="preserve">SSA deduction, direct bill, auto-pay; 0/1</w:t>
            </w:r>
          </w:p>
        </w:tc>
        <w:tc>
          <w:tcPr/>
          <w:p>
            <w:pPr>
              <w:pStyle w:val="Compact"/>
              <w:jc w:val="left"/>
            </w:pPr>
            <w:r>
              <w:t xml:space="preserve">Billing</w:t>
            </w:r>
          </w:p>
        </w:tc>
        <w:tc>
          <w:tcPr/>
          <w:p>
            <w:pPr>
              <w:pStyle w:val="Compact"/>
              <w:jc w:val="left"/>
            </w:pPr>
            <w:r>
              <w:t xml:space="preserve">2+10</w:t>
            </w:r>
          </w:p>
        </w:tc>
        <w:tc>
          <w:tcPr/>
          <w:p>
            <w:pPr>
              <w:pStyle w:val="Compact"/>
              <w:jc w:val="left"/>
            </w:pPr>
            <w:r>
              <w:t xml:space="preserve">missed up; also disenrollment</w:t>
            </w:r>
          </w:p>
        </w:tc>
      </w:tr>
      <w:tr>
        <w:tc>
          <w:tcPr/>
          <w:p>
            <w:pPr>
              <w:pStyle w:val="Compact"/>
              <w:jc w:val="left"/>
            </w:pPr>
            <w:r>
              <w:t xml:space="preserve">mppp_enrolled</w:t>
            </w:r>
          </w:p>
        </w:tc>
        <w:tc>
          <w:tcPr/>
          <w:p>
            <w:pPr>
              <w:pStyle w:val="Compact"/>
              <w:jc w:val="left"/>
            </w:pPr>
            <w:r>
              <w:t xml:space="preserve">0/1 Medicare Prescription Payment Plan</w:t>
            </w:r>
          </w:p>
        </w:tc>
        <w:tc>
          <w:tcPr/>
          <w:p>
            <w:pPr>
              <w:pStyle w:val="Compact"/>
              <w:jc w:val="left"/>
            </w:pPr>
            <w:r>
              <w:t xml:space="preserve">Part D</w:t>
            </w:r>
          </w:p>
        </w:tc>
        <w:tc>
          <w:tcPr/>
          <w:p>
            <w:pPr>
              <w:pStyle w:val="Compact"/>
              <w:jc w:val="left"/>
            </w:pPr>
            <w:r>
              <w:t xml:space="preserve">2+10</w:t>
            </w:r>
          </w:p>
        </w:tc>
        <w:tc>
          <w:tcPr/>
          <w:p>
            <w:pPr>
              <w:pStyle w:val="Compact"/>
              <w:jc w:val="left"/>
            </w:pPr>
            <w:r>
              <w:t xml:space="preserve">up (high Rx)</w:t>
            </w:r>
          </w:p>
        </w:tc>
      </w:tr>
    </w:tbl>
    <w:p>
      <w:pPr>
        <w:pStyle w:val="BodyText"/>
      </w:pPr>
      <w:r>
        <w:rPr>
          <w:bCs/>
          <w:b/>
        </w:rPr>
        <w:t xml:space="preserve">Build order.</w:t>
      </w:r>
      <w:r>
        <w:t xml:space="preserve"> </w:t>
      </w:r>
      <w:r>
        <w:t xml:space="preserve">Tiers 1 and 2 first (they need only enrollment, MMR and the Landscape file), then Tier 3 with the county-relative table, then Tier 4, then Tier 5 for the 2+10, 5+7 and 8+4 horizons. Google PDFM embeddings join on the member’s ZCTA for the enrollment month and sit alongside Tier 3 as M3 in the ablation ladder.</w:t>
      </w:r>
    </w:p>
    <w:bookmarkEnd w:id="31"/>
    <w:bookmarkStart w:id="32" w:name="year-drift-and-modeling-cautions"/>
    <w:p>
      <w:pPr>
        <w:pStyle w:val="Heading1"/>
      </w:pPr>
      <w:r>
        <w:t xml:space="preserve">Year drift and modeling cautions</w:t>
      </w:r>
    </w:p>
    <w:p>
      <w:pPr>
        <w:pStyle w:val="FirstParagraph"/>
      </w:pPr>
      <w:r>
        <w:t xml:space="preserve">The four plan years differ enough in product mix, risk model and Part D design that a model trained on 2024 and applied to 2027 without the adjustments below will be miscalibrated by plan family, by county and on Rx cost.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Drift</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c>
          <w:tcPr/>
          <w:p>
            <w:pPr>
              <w:pStyle w:val="Compact"/>
              <w:jc w:val="left"/>
            </w:pPr>
            <w:r>
              <w:t xml:space="preserve">2027</w:t>
            </w:r>
          </w:p>
        </w:tc>
        <w:tc>
          <w:tcPr/>
          <w:p>
            <w:pPr>
              <w:pStyle w:val="Compact"/>
              <w:jc w:val="left"/>
            </w:pPr>
            <w:r>
              <w:t xml:space="preserve">What to do</w:t>
            </w:r>
          </w:p>
        </w:tc>
      </w:tr>
      <w:tr>
        <w:tc>
          <w:tcPr/>
          <w:p>
            <w:pPr>
              <w:pStyle w:val="Compact"/>
              <w:jc w:val="left"/>
            </w:pPr>
            <w:r>
              <w:t xml:space="preserve">UHC counties</w:t>
            </w:r>
          </w:p>
        </w:tc>
        <w:tc>
          <w:tcPr/>
          <w:p>
            <w:pPr>
              <w:pStyle w:val="Compact"/>
              <w:jc w:val="left"/>
            </w:pPr>
            <w:r>
              <w:t xml:space="preserve">2,804</w:t>
            </w:r>
          </w:p>
        </w:tc>
        <w:tc>
          <w:tcPr/>
          <w:p>
            <w:pPr>
              <w:pStyle w:val="Compact"/>
              <w:jc w:val="left"/>
            </w:pPr>
            <w:r>
              <w:t xml:space="preserve">2,808</w:t>
            </w:r>
          </w:p>
        </w:tc>
        <w:tc>
          <w:tcPr/>
          <w:p>
            <w:pPr>
              <w:pStyle w:val="Compact"/>
              <w:jc w:val="left"/>
            </w:pPr>
            <w:r>
              <w:t xml:space="preserve">2,597</w:t>
            </w:r>
          </w:p>
        </w:tc>
        <w:tc>
          <w:tcPr/>
          <w:p>
            <w:pPr>
              <w:pStyle w:val="Compact"/>
              <w:jc w:val="left"/>
            </w:pPr>
            <w:r>
              <w:t xml:space="preserve">2,534</w:t>
            </w:r>
          </w:p>
        </w:tc>
        <w:tc>
          <w:tcPr/>
          <w:p>
            <w:pPr>
              <w:pStyle w:val="Compact"/>
              <w:jc w:val="left"/>
            </w:pPr>
            <w:r>
              <w:t xml:space="preserve">Spatial holdout by county; county-relative features</w:t>
            </w:r>
          </w:p>
        </w:tc>
      </w:tr>
      <w:tr>
        <w:tc>
          <w:tcPr/>
          <w:p>
            <w:pPr>
              <w:pStyle w:val="Compact"/>
              <w:jc w:val="left"/>
            </w:pPr>
            <w:r>
              <w:t xml:space="preserve">UHC reach</w:t>
            </w:r>
          </w:p>
        </w:tc>
        <w:tc>
          <w:tcPr/>
          <w:p>
            <w:pPr>
              <w:pStyle w:val="Compact"/>
              <w:jc w:val="left"/>
            </w:pPr>
            <w:r>
              <w:t xml:space="preserve">96%</w:t>
            </w:r>
          </w:p>
        </w:tc>
        <w:tc>
          <w:tcPr/>
          <w:p>
            <w:pPr>
              <w:pStyle w:val="Compact"/>
              <w:jc w:val="left"/>
            </w:pPr>
            <w:r>
              <w:t xml:space="preserve">96%</w:t>
            </w:r>
          </w:p>
        </w:tc>
        <w:tc>
          <w:tcPr/>
          <w:p>
            <w:pPr>
              <w:pStyle w:val="Compact"/>
              <w:jc w:val="left"/>
            </w:pPr>
            <w:r>
              <w:t xml:space="preserve">94%</w:t>
            </w:r>
          </w:p>
        </w:tc>
        <w:tc>
          <w:tcPr/>
          <w:p>
            <w:pPr>
              <w:pStyle w:val="Compact"/>
              <w:jc w:val="left"/>
            </w:pPr>
            <w:r>
              <w:t xml:space="preserve">94%+</w:t>
            </w:r>
          </w:p>
        </w:tc>
        <w:tc>
          <w:tcPr/>
          <w:p>
            <w:pPr>
              <w:pStyle w:val="Compact"/>
              <w:jc w:val="left"/>
            </w:pPr>
            <w:r>
              <w:t xml:space="preserve">Expect fewer rural members from 2026</w:t>
            </w:r>
          </w:p>
        </w:tc>
      </w:tr>
      <w:tr>
        <w:tc>
          <w:tcPr/>
          <w:p>
            <w:pPr>
              <w:pStyle w:val="Compact"/>
              <w:jc w:val="left"/>
            </w:pPr>
            <w:r>
              <w:t xml:space="preserve">Product emphasis</w:t>
            </w:r>
          </w:p>
        </w:tc>
        <w:tc>
          <w:tcPr/>
          <w:p>
            <w:pPr>
              <w:pStyle w:val="Compact"/>
              <w:jc w:val="left"/>
            </w:pPr>
            <w:r>
              <w:t xml:space="preserve">growth, PPO-rich</w:t>
            </w:r>
          </w:p>
        </w:tc>
        <w:tc>
          <w:tcPr/>
          <w:p>
            <w:pPr>
              <w:pStyle w:val="Compact"/>
              <w:jc w:val="left"/>
            </w:pPr>
            <w:r>
              <w:t xml:space="preserve">first PPO cuts (250k+ members)</w:t>
            </w:r>
          </w:p>
        </w:tc>
        <w:tc>
          <w:tcPr/>
          <w:p>
            <w:pPr>
              <w:pStyle w:val="Compact"/>
              <w:jc w:val="left"/>
            </w:pPr>
            <w:r>
              <w:t xml:space="preserve">600k in cut plans, mostly PPO</w:t>
            </w:r>
          </w:p>
        </w:tc>
        <w:tc>
          <w:tcPr/>
          <w:p>
            <w:pPr>
              <w:pStyle w:val="Compact"/>
              <w:jc w:val="left"/>
            </w:pPr>
            <w:r>
              <w:t xml:space="preserve">HMO-first, ~390k in cut plans</w:t>
            </w:r>
          </w:p>
        </w:tc>
        <w:tc>
          <w:tcPr/>
          <w:p>
            <w:pPr>
              <w:pStyle w:val="Compact"/>
              <w:jc w:val="left"/>
            </w:pPr>
            <w:r>
              <w:t xml:space="preserve">plan_type as feature; never bake PPO share into the intercept</w:t>
            </w:r>
          </w:p>
        </w:tc>
      </w:tr>
      <w:tr>
        <w:tc>
          <w:tcPr/>
          <w:p>
            <w:pPr>
              <w:pStyle w:val="Compact"/>
              <w:jc w:val="left"/>
            </w:pPr>
            <w:r>
              <w:t xml:space="preserve">UHC SNP share</w:t>
            </w:r>
          </w:p>
        </w:tc>
        <w:tc>
          <w:tcPr/>
          <w:p>
            <w:pPr>
              <w:pStyle w:val="Compact"/>
              <w:jc w:val="left"/>
            </w:pPr>
            <w:r>
              <w:t xml:space="preserve">growing</w:t>
            </w:r>
          </w:p>
        </w:tc>
        <w:tc>
          <w:tcPr/>
          <w:p>
            <w:pPr>
              <w:pStyle w:val="Compact"/>
              <w:jc w:val="left"/>
            </w:pPr>
            <w:r>
              <w:t xml:space="preserve">growing</w:t>
            </w:r>
          </w:p>
        </w:tc>
        <w:tc>
          <w:tcPr/>
          <w:p>
            <w:pPr>
              <w:pStyle w:val="Compact"/>
              <w:jc w:val="left"/>
            </w:pPr>
            <w:r>
              <w:t xml:space="preserve">SNP +267k while individual -582k</w:t>
            </w:r>
          </w:p>
        </w:tc>
        <w:tc>
          <w:tcPr/>
          <w:p>
            <w:pPr>
              <w:pStyle w:val="Compact"/>
              <w:jc w:val="left"/>
            </w:pPr>
            <w:r>
              <w:t xml:space="preserve">D-SNP 74% reach, C-SNP 48M eligibles</w:t>
            </w:r>
          </w:p>
        </w:tc>
        <w:tc>
          <w:tcPr/>
          <w:p>
            <w:pPr>
              <w:pStyle w:val="Compact"/>
              <w:jc w:val="left"/>
            </w:pPr>
            <w:r>
              <w:t xml:space="preserve">Train with SNP-weighted cohorts; evaluate per SNP type</w:t>
            </w:r>
          </w:p>
        </w:tc>
      </w:tr>
      <w:tr>
        <w:tc>
          <w:tcPr/>
          <w:p>
            <w:pPr>
              <w:pStyle w:val="Compact"/>
              <w:jc w:val="left"/>
            </w:pPr>
            <w:r>
              <w:t xml:space="preserve">CMS-HCC model</w:t>
            </w:r>
          </w:p>
        </w:tc>
        <w:tc>
          <w:tcPr/>
          <w:p>
            <w:pPr>
              <w:pStyle w:val="Compact"/>
              <w:jc w:val="left"/>
            </w:pPr>
            <w:r>
              <w:t xml:space="preserve">33% V28</w:t>
            </w:r>
          </w:p>
        </w:tc>
        <w:tc>
          <w:tcPr/>
          <w:p>
            <w:pPr>
              <w:pStyle w:val="Compact"/>
              <w:jc w:val="left"/>
            </w:pPr>
            <w:r>
              <w:t xml:space="preserve">67% V28</w:t>
            </w:r>
          </w:p>
        </w:tc>
        <w:tc>
          <w:tcPr/>
          <w:p>
            <w:pPr>
              <w:pStyle w:val="Compact"/>
              <w:jc w:val="left"/>
            </w:pPr>
            <w:r>
              <w:t xml:space="preserve">100% V28</w:t>
            </w:r>
          </w:p>
        </w:tc>
        <w:tc>
          <w:tcPr/>
          <w:p>
            <w:pPr>
              <w:pStyle w:val="Compact"/>
              <w:jc w:val="left"/>
            </w:pPr>
            <w:r>
              <w:t xml:space="preserve">100% V28, same model</w:t>
            </w:r>
          </w:p>
        </w:tc>
        <w:tc>
          <w:tcPr/>
          <w:p>
            <w:pPr>
              <w:pStyle w:val="Compact"/>
              <w:jc w:val="left"/>
            </w:pPr>
            <w:r>
              <w:t xml:space="preserve">Normalize RAF targets by year; prefer dollar targets</w:t>
            </w:r>
          </w:p>
        </w:tc>
      </w:tr>
      <w:tr>
        <w:tc>
          <w:tcPr/>
          <w:p>
            <w:pPr>
              <w:pStyle w:val="Compact"/>
              <w:jc w:val="left"/>
            </w:pPr>
            <w:r>
              <w:t xml:space="preserve">Normalization factor (V28)</w:t>
            </w:r>
          </w:p>
        </w:tc>
        <w:tc>
          <w:tcPr/>
          <w:p>
            <w:pPr>
              <w:pStyle w:val="Compact"/>
              <w:jc w:val="left"/>
            </w:pPr>
            <w:r>
              <w:t xml:space="preserve">1.015</w:t>
            </w:r>
          </w:p>
        </w:tc>
        <w:tc>
          <w:tcPr/>
          <w:p>
            <w:pPr>
              <w:pStyle w:val="Compact"/>
              <w:jc w:val="left"/>
            </w:pPr>
            <w:r>
              <w:t xml:space="preserve">1.045</w:t>
            </w:r>
          </w:p>
        </w:tc>
        <w:tc>
          <w:tcPr/>
          <w:p>
            <w:pPr>
              <w:pStyle w:val="Compact"/>
              <w:jc w:val="left"/>
            </w:pPr>
            <w:r>
              <w:t xml:space="preserve">1.067</w:t>
            </w:r>
          </w:p>
        </w:tc>
        <w:tc>
          <w:tcPr/>
          <w:p>
            <w:pPr>
              <w:pStyle w:val="Compact"/>
              <w:jc w:val="left"/>
            </w:pPr>
            <w:r>
              <w:t xml:space="preserve">1.079</w:t>
            </w:r>
          </w:p>
        </w:tc>
        <w:tc>
          <w:tcPr/>
          <w:p>
            <w:pPr>
              <w:pStyle w:val="Compact"/>
              <w:jc w:val="left"/>
            </w:pPr>
            <w:r>
              <w:t xml:space="preserve">Divide raw scores by the year’s factor when comparing</w:t>
            </w:r>
          </w:p>
        </w:tc>
      </w:tr>
      <w:tr>
        <w:tc>
          <w:tcPr/>
          <w:p>
            <w:pPr>
              <w:pStyle w:val="Compact"/>
              <w:jc w:val="left"/>
            </w:pPr>
            <w:r>
              <w:t xml:space="preserve">CMS payment update</w:t>
            </w:r>
          </w:p>
        </w:tc>
        <w:tc>
          <w:tcPr/>
          <w:p>
            <w:pPr>
              <w:pStyle w:val="Compact"/>
              <w:jc w:val="left"/>
            </w:pPr>
            <w:r>
              <w:t xml:space="preserve">+3.32%</w:t>
            </w:r>
          </w:p>
        </w:tc>
        <w:tc>
          <w:tcPr/>
          <w:p>
            <w:pPr>
              <w:pStyle w:val="Compact"/>
              <w:jc w:val="left"/>
            </w:pPr>
            <w:r>
              <w:t xml:space="preserve">+3.70%</w:t>
            </w:r>
          </w:p>
        </w:tc>
        <w:tc>
          <w:tcPr/>
          <w:p>
            <w:pPr>
              <w:pStyle w:val="Compact"/>
              <w:jc w:val="left"/>
            </w:pPr>
            <w:r>
              <w:t xml:space="preserve">+5.06%</w:t>
            </w:r>
          </w:p>
        </w:tc>
        <w:tc>
          <w:tcPr/>
          <w:p>
            <w:pPr>
              <w:pStyle w:val="Compact"/>
              <w:jc w:val="left"/>
            </w:pPr>
            <w:r>
              <w:t xml:space="preserve">+2.48%</w:t>
            </w:r>
          </w:p>
        </w:tc>
        <w:tc>
          <w:tcPr/>
          <w:p>
            <w:pPr>
              <w:pStyle w:val="Compact"/>
              <w:jc w:val="left"/>
            </w:pPr>
            <w:r>
              <w:t xml:space="preserve">Trend dollar labels to a common year with Actuarial’s trend factors</w:t>
            </w:r>
          </w:p>
        </w:tc>
      </w:tr>
      <w:tr>
        <w:tc>
          <w:tcPr/>
          <w:p>
            <w:pPr>
              <w:pStyle w:val="Compact"/>
              <w:jc w:val="left"/>
            </w:pPr>
            <w:r>
              <w:t xml:space="preserve">Part D deductible / cap</w:t>
            </w:r>
          </w:p>
        </w:tc>
        <w:tc>
          <w:tcPr/>
          <w:p>
            <w:pPr>
              <w:pStyle w:val="Compact"/>
              <w:jc w:val="left"/>
            </w:pPr>
            <w:r>
              <w:t xml:space="preserve">$545 / $8,000 TrOOP</w:t>
            </w:r>
          </w:p>
        </w:tc>
        <w:tc>
          <w:tcPr/>
          <w:p>
            <w:pPr>
              <w:pStyle w:val="Compact"/>
              <w:jc w:val="left"/>
            </w:pPr>
            <w:r>
              <w:t xml:space="preserve">$590 / $2,000</w:t>
            </w:r>
          </w:p>
        </w:tc>
        <w:tc>
          <w:tcPr/>
          <w:p>
            <w:pPr>
              <w:pStyle w:val="Compact"/>
              <w:jc w:val="left"/>
            </w:pPr>
            <w:r>
              <w:t xml:space="preserve">$615 / $2,100</w:t>
            </w:r>
          </w:p>
        </w:tc>
        <w:tc>
          <w:tcPr/>
          <w:p>
            <w:pPr>
              <w:pStyle w:val="Compact"/>
              <w:jc w:val="left"/>
            </w:pPr>
            <w:r>
              <w:t xml:space="preserve">$700 / $2,400</w:t>
            </w:r>
          </w:p>
        </w:tc>
        <w:tc>
          <w:tcPr/>
          <w:p>
            <w:pPr>
              <w:pStyle w:val="Compact"/>
              <w:jc w:val="left"/>
            </w:pPr>
            <w:r>
              <w:t xml:space="preserve">Model Rx cost separately or trend-adjust; plan liability jumps in 2025</w:t>
            </w:r>
          </w:p>
        </w:tc>
      </w:tr>
      <w:tr>
        <w:tc>
          <w:tcPr/>
          <w:p>
            <w:pPr>
              <w:pStyle w:val="Compact"/>
              <w:jc w:val="left"/>
            </w:pPr>
            <w:r>
              <w:t xml:space="preserve">Dual/LIS SEP</w:t>
            </w:r>
          </w:p>
        </w:tc>
        <w:tc>
          <w:tcPr/>
          <w:p>
            <w:pPr>
              <w:pStyle w:val="Compact"/>
              <w:jc w:val="left"/>
            </w:pPr>
            <w:r>
              <w:t xml:space="preserve">quarterly</w:t>
            </w:r>
          </w:p>
        </w:tc>
        <w:tc>
          <w:tcPr/>
          <w:p>
            <w:pPr>
              <w:pStyle w:val="Compact"/>
              <w:jc w:val="left"/>
            </w:pPr>
            <w:r>
              <w:t xml:space="preserve">monthly + Integrated Care SEP</w:t>
            </w:r>
          </w:p>
        </w:tc>
        <w:tc>
          <w:tcPr/>
          <w:p>
            <w:pPr>
              <w:pStyle w:val="Compact"/>
              <w:jc w:val="left"/>
            </w:pPr>
            <w:r>
              <w:t xml:space="preserve">same</w:t>
            </w:r>
          </w:p>
        </w:tc>
        <w:tc>
          <w:tcPr/>
          <w:p>
            <w:pPr>
              <w:pStyle w:val="Compact"/>
              <w:jc w:val="left"/>
            </w:pPr>
            <w:r>
              <w:t xml:space="preserve">same, plus 514(h) alignment</w:t>
            </w:r>
          </w:p>
        </w:tc>
        <w:tc>
          <w:tcPr/>
          <w:p>
            <w:pPr>
              <w:pStyle w:val="Compact"/>
              <w:jc w:val="left"/>
            </w:pPr>
            <w:r>
              <w:t xml:space="preserve">sep_reason categories differ by year; map to a common set</w:t>
            </w:r>
          </w:p>
        </w:tc>
      </w:tr>
      <w:tr>
        <w:tc>
          <w:tcPr/>
          <w:p>
            <w:pPr>
              <w:pStyle w:val="Compact"/>
              <w:jc w:val="left"/>
            </w:pPr>
            <w:r>
              <w:t xml:space="preserve">Look-alike threshold</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c>
          <w:tcPr/>
          <w:p>
            <w:pPr>
              <w:pStyle w:val="Compact"/>
              <w:jc w:val="left"/>
            </w:pPr>
            <w:r>
              <w:t xml:space="preserve">60%</w:t>
            </w:r>
          </w:p>
        </w:tc>
        <w:tc>
          <w:tcPr/>
          <w:p>
            <w:pPr>
              <w:pStyle w:val="Compact"/>
              <w:jc w:val="left"/>
            </w:pPr>
            <w:r>
              <w:t xml:space="preserve">Look-alike transitions appear as crosswalk moves</w:t>
            </w:r>
          </w:p>
        </w:tc>
      </w:tr>
      <w:tr>
        <w:tc>
          <w:tcPr/>
          <w:p>
            <w:pPr>
              <w:pStyle w:val="Compact"/>
              <w:jc w:val="left"/>
            </w:pPr>
            <w:r>
              <w:t xml:space="preserve">SSBCI eligibility</w:t>
            </w:r>
          </w:p>
        </w:tc>
        <w:tc>
          <w:tcPr/>
          <w:p>
            <w:pPr>
              <w:pStyle w:val="Compact"/>
              <w:jc w:val="left"/>
            </w:pPr>
            <w:r>
              <w:t xml:space="preserve">plan-defined</w:t>
            </w:r>
          </w:p>
        </w:tc>
        <w:tc>
          <w:tcPr/>
          <w:p>
            <w:pPr>
              <w:pStyle w:val="Compact"/>
              <w:jc w:val="left"/>
            </w:pPr>
            <w:r>
              <w:t xml:space="preserve">evidence-backed</w:t>
            </w:r>
          </w:p>
        </w:tc>
        <w:tc>
          <w:tcPr/>
          <w:p>
            <w:pPr>
              <w:pStyle w:val="Compact"/>
              <w:jc w:val="left"/>
            </w:pPr>
            <w:r>
              <w:t xml:space="preserve">documented condition required for SNPs</w:t>
            </w:r>
          </w:p>
        </w:tc>
        <w:tc>
          <w:tcPr/>
          <w:p>
            <w:pPr>
              <w:pStyle w:val="Compact"/>
              <w:jc w:val="left"/>
            </w:pPr>
            <w:r>
              <w:t xml:space="preserve">objective criteria, no self-attestation</w:t>
            </w:r>
          </w:p>
        </w:tc>
        <w:tc>
          <w:tcPr/>
          <w:p>
            <w:pPr>
              <w:pStyle w:val="Compact"/>
              <w:jc w:val="left"/>
            </w:pPr>
            <w:r>
              <w:t xml:space="preserve">ssbci_eligible_flag is a stronger signal from 2026</w:t>
            </w:r>
          </w:p>
        </w:tc>
      </w:tr>
      <w:tr>
        <w:tc>
          <w:tcPr/>
          <w:p>
            <w:pPr>
              <w:pStyle w:val="Compact"/>
              <w:jc w:val="left"/>
            </w:pPr>
            <w:r>
              <w:t xml:space="preserve">VBID</w:t>
            </w:r>
          </w:p>
        </w:tc>
        <w:tc>
          <w:tcPr/>
          <w:p>
            <w:pPr>
              <w:pStyle w:val="Compact"/>
              <w:jc w:val="left"/>
            </w:pPr>
            <w:r>
              <w:t xml:space="preserve">active (incl. hospice)</w:t>
            </w:r>
          </w:p>
        </w:tc>
        <w:tc>
          <w:tcPr/>
          <w:p>
            <w:pPr>
              <w:pStyle w:val="Compact"/>
              <w:jc w:val="left"/>
            </w:pPr>
            <w:r>
              <w:t xml:space="preserve">last year</w:t>
            </w:r>
          </w:p>
        </w:tc>
        <w:tc>
          <w:tcPr/>
          <w:p>
            <w:pPr>
              <w:pStyle w:val="Compact"/>
              <w:jc w:val="left"/>
            </w:pPr>
            <w:r>
              <w:t xml:space="preserve">ended</w:t>
            </w:r>
          </w:p>
        </w:tc>
        <w:tc>
          <w:tcPr/>
          <w:p>
            <w:pPr>
              <w:pStyle w:val="Compact"/>
              <w:jc w:val="left"/>
            </w:pPr>
            <w:r>
              <w:t xml:space="preserve">ended</w:t>
            </w:r>
          </w:p>
        </w:tc>
        <w:tc>
          <w:tcPr/>
          <w:p>
            <w:pPr>
              <w:pStyle w:val="Compact"/>
              <w:jc w:val="left"/>
            </w:pPr>
            <w:r>
              <w:t xml:space="preserve">Drop VBID-targeted benefits from 2026+ features</w:t>
            </w:r>
          </w:p>
        </w:tc>
      </w:tr>
      <w:tr>
        <w:tc>
          <w:tcPr/>
          <w:p>
            <w:pPr>
              <w:pStyle w:val="Compact"/>
              <w:jc w:val="left"/>
            </w:pPr>
            <w:r>
              <w:t xml:space="preserve">Broker rules</w:t>
            </w:r>
          </w:p>
        </w:tc>
        <w:tc>
          <w:tcPr/>
          <w:p>
            <w:pPr>
              <w:pStyle w:val="Compact"/>
              <w:jc w:val="left"/>
            </w:pPr>
            <w:r>
              <w:t xml:space="preserve">FMV $611</w:t>
            </w:r>
          </w:p>
        </w:tc>
        <w:tc>
          <w:tcPr/>
          <w:p>
            <w:pPr>
              <w:pStyle w:val="Compact"/>
              <w:jc w:val="left"/>
            </w:pPr>
            <w:r>
              <w:t xml:space="preserve">$626, fixed-fee rule stayed</w:t>
            </w:r>
          </w:p>
        </w:tc>
        <w:tc>
          <w:tcPr/>
          <w:p>
            <w:pPr>
              <w:pStyle w:val="Compact"/>
              <w:jc w:val="left"/>
            </w:pPr>
            <w:r>
              <w:t xml:space="preserve">$694, rule vacated</w:t>
            </w:r>
          </w:p>
        </w:tc>
        <w:tc>
          <w:tcPr/>
          <w:p>
            <w:pPr>
              <w:pStyle w:val="Compact"/>
              <w:jc w:val="left"/>
            </w:pPr>
            <w:r>
              <w:t xml:space="preserve">$725, marketing deregulated</w:t>
            </w:r>
          </w:p>
        </w:tc>
        <w:tc>
          <w:tcPr/>
          <w:p>
            <w:pPr>
              <w:pStyle w:val="Compact"/>
              <w:jc w:val="left"/>
            </w:pPr>
            <w:r>
              <w:t xml:space="preserve">Channel mix shifts; keep sales_channel</w:t>
            </w:r>
          </w:p>
        </w:tc>
      </w:tr>
    </w:tbl>
    <w:p>
      <w:pPr>
        <w:pStyle w:val="BodyText"/>
      </w:pPr>
      <w:r>
        <w:rPr>
          <w:bCs/>
          <w:b/>
        </w:rPr>
        <w:t xml:space="preserve">Leakage rules</w:t>
      </w:r>
    </w:p>
    <w:p>
      <w:pPr>
        <w:numPr>
          <w:ilvl w:val="0"/>
          <w:numId w:val="1018"/>
        </w:numPr>
        <w:pStyle w:val="Compact"/>
      </w:pPr>
      <w:r>
        <w:t xml:space="preserve">Every feature in a horizon row must have been observable on that horizon’s scoring date. Build four tables with four as-of dates; do not blank columns from one table.</w:t>
      </w:r>
    </w:p>
    <w:p>
      <w:pPr>
        <w:numPr>
          <w:ilvl w:val="0"/>
          <w:numId w:val="1018"/>
        </w:numPr>
        <w:pStyle w:val="Compact"/>
      </w:pPr>
      <w:r>
        <w:t xml:space="preserve">Claims-derived features at 2+10, 5+7 and 8+4 use claims paid as of the scoring date, or incurred claims with Actuarial’s completion factors. Labels use fully run-out claims.</w:t>
      </w:r>
    </w:p>
    <w:p>
      <w:pPr>
        <w:numPr>
          <w:ilvl w:val="0"/>
          <w:numId w:val="1018"/>
        </w:numPr>
        <w:pStyle w:val="Compact"/>
      </w:pPr>
      <w:r>
        <w:t xml:space="preserve">Plan attributes are frozen at the plan year in force on the scoring date. A member who changes PBP mid-year at OEP gets the new plan’s attributes from the change month.</w:t>
      </w:r>
    </w:p>
    <w:p>
      <w:pPr>
        <w:numPr>
          <w:ilvl w:val="0"/>
          <w:numId w:val="1018"/>
        </w:numPr>
        <w:pStyle w:val="Compact"/>
      </w:pPr>
      <w:r>
        <w:t xml:space="preserve">pcp_panel_avg_raf, broker_id target encoding and any ZIP-level aggregate of UHC members must be computed out of fold and from the prior year only.</w:t>
      </w:r>
    </w:p>
    <w:p>
      <w:pPr>
        <w:numPr>
          <w:ilvl w:val="0"/>
          <w:numId w:val="1018"/>
        </w:numPr>
        <w:pStyle w:val="Compact"/>
      </w:pPr>
      <w:r>
        <w:t xml:space="preserve">The CMS new-enrollee RAF on the MMR is the only RAF allowed as a feature for new members; mid-year RAF updates that incorporate current-year diagnoses are label leakage.</w:t>
      </w:r>
    </w:p>
    <w:p>
      <w:pPr>
        <w:pStyle w:val="FirstParagraph"/>
      </w:pPr>
      <w:r>
        <w:rPr>
          <w:bCs/>
          <w:b/>
        </w:rPr>
        <w:t xml:space="preserve">New-member definition.</w:t>
      </w:r>
      <w:r>
        <w:t xml:space="preserve"> </w:t>
      </w:r>
      <w:r>
        <w:t xml:space="preserve">New to UHC with continuous enrollment under 6 months at the scoring date. Under this rule 0+12, 2+10 and 5+7 rows qualify; 8+4 rows do not. Recommended: define the cohort by enrollment year and score all four horizons, since CMS still treats the member as a new enrollee for the whole first year. Members matched to a prior UHC relationship (Medigap, PDP, commercial, Medicaid) or flagged as involuntary movers are warm starts and should be reported as a separate slice.</w:t>
      </w:r>
    </w:p>
    <w:p>
      <w:pPr>
        <w:pStyle w:val="BodyText"/>
      </w:pPr>
      <w:r>
        <w:rPr>
          <w:bCs/>
          <w:b/>
        </w:rPr>
        <w:t xml:space="preserve">County-relative encoding.</w:t>
      </w:r>
      <w:r>
        <w:t xml:space="preserve"> </w:t>
      </w:r>
      <w:r>
        <w:t xml:space="preserve">Every premium, MOOP and allowance feature gets a rank and a difference from the county minimum for that plan year, computed from the Landscape file across all carriers, not only UHC plans. The choice of a plan over the county’s cheapest alternative is the signal.</w:t>
      </w:r>
    </w:p>
    <w:p>
      <w:pPr>
        <w:pStyle w:val="BodyText"/>
      </w:pPr>
      <w:r>
        <w:rPr>
          <w:bCs/>
          <w:b/>
        </w:rPr>
        <w:t xml:space="preserve">Fairness.</w:t>
      </w:r>
      <w:r>
        <w:t xml:space="preserve"> </w:t>
      </w:r>
      <w:r>
        <w:t xml:space="preserve">Dual status, LIS, language preference, accessibility requests and ZIP-level features correlate with race and income. Before production, report predictive ratios by dual status, age band, sex, urban/rural and, where available, race, and position the model for outreach prioritization and actuarial planning, not for individual pricing or eligibility decisions. Language and accessibility features should be used for calibration review first and only promoted to predictors after that review.</w:t>
      </w:r>
    </w:p>
    <w:bookmarkEnd w:id="32"/>
    <w:bookmarkStart w:id="33" w:name="glossary"/>
    <w:p>
      <w:pPr>
        <w:pStyle w:val="Heading1"/>
      </w:pPr>
      <w:r>
        <w:t xml:space="preserve">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AEP</w:t>
            </w:r>
          </w:p>
        </w:tc>
        <w:tc>
          <w:tcPr/>
          <w:p>
            <w:pPr>
              <w:pStyle w:val="Compact"/>
              <w:jc w:val="left"/>
            </w:pPr>
            <w:r>
              <w:t xml:space="preserve">Annual Enrollment Period, October 15 to December 7, effective January 1</w:t>
            </w:r>
          </w:p>
        </w:tc>
      </w:tr>
      <w:tr>
        <w:tc>
          <w:tcPr/>
          <w:p>
            <w:pPr>
              <w:pStyle w:val="Compact"/>
              <w:jc w:val="left"/>
            </w:pPr>
            <w:r>
              <w:t xml:space="preserve">AIP</w:t>
            </w:r>
          </w:p>
        </w:tc>
        <w:tc>
          <w:tcPr/>
          <w:p>
            <w:pPr>
              <w:pStyle w:val="Compact"/>
              <w:jc w:val="left"/>
            </w:pPr>
            <w:r>
              <w:t xml:space="preserve">Applicable Integrated Plan: a D-SNP with exclusively aligned enrollment and unified Medicare-Medicaid appeals</w:t>
            </w:r>
          </w:p>
        </w:tc>
      </w:tr>
      <w:tr>
        <w:tc>
          <w:tcPr/>
          <w:p>
            <w:pPr>
              <w:pStyle w:val="Compact"/>
              <w:jc w:val="left"/>
            </w:pPr>
            <w:r>
              <w:t xml:space="preserve">CMS-HCC / V28</w:t>
            </w:r>
          </w:p>
        </w:tc>
        <w:tc>
          <w:tcPr/>
          <w:p>
            <w:pPr>
              <w:pStyle w:val="Compact"/>
              <w:jc w:val="left"/>
            </w:pPr>
            <w:r>
              <w:t xml:space="preserve">CMS Hierarchical Condition Category risk model; V28 is the 2024 version, fully phased in from 2026</w:t>
            </w:r>
          </w:p>
        </w:tc>
      </w:tr>
      <w:tr>
        <w:tc>
          <w:tcPr/>
          <w:p>
            <w:pPr>
              <w:pStyle w:val="Compact"/>
              <w:jc w:val="left"/>
            </w:pPr>
            <w:r>
              <w:t xml:space="preserve">CPSC</w:t>
            </w:r>
          </w:p>
        </w:tc>
        <w:tc>
          <w:tcPr/>
          <w:p>
            <w:pPr>
              <w:pStyle w:val="Compact"/>
              <w:jc w:val="left"/>
            </w:pPr>
            <w:r>
              <w:t xml:space="preserve">CMS monthly enrollment file by contract, plan, state, county</w:t>
            </w:r>
          </w:p>
        </w:tc>
      </w:tr>
      <w:tr>
        <w:tc>
          <w:tcPr/>
          <w:p>
            <w:pPr>
              <w:pStyle w:val="Compact"/>
              <w:jc w:val="left"/>
            </w:pPr>
            <w:r>
              <w:t xml:space="preserve">C-SNP</w:t>
            </w:r>
          </w:p>
        </w:tc>
        <w:tc>
          <w:tcPr/>
          <w:p>
            <w:pPr>
              <w:pStyle w:val="Compact"/>
              <w:jc w:val="left"/>
            </w:pPr>
            <w:r>
              <w:t xml:space="preserve">Chronic Condition Special Needs Plan</w:t>
            </w:r>
          </w:p>
        </w:tc>
      </w:tr>
      <w:tr>
        <w:tc>
          <w:tcPr/>
          <w:p>
            <w:pPr>
              <w:pStyle w:val="Compact"/>
              <w:jc w:val="left"/>
            </w:pPr>
            <w:r>
              <w:t xml:space="preserve">D-SNP</w:t>
            </w:r>
          </w:p>
        </w:tc>
        <w:tc>
          <w:tcPr/>
          <w:p>
            <w:pPr>
              <w:pStyle w:val="Compact"/>
              <w:jc w:val="left"/>
            </w:pPr>
            <w:r>
              <w:t xml:space="preserve">Dual Eligible Special Needs Plan (Medicare plus Medicaid)</w:t>
            </w:r>
          </w:p>
        </w:tc>
      </w:tr>
      <w:tr>
        <w:tc>
          <w:tcPr/>
          <w:p>
            <w:pPr>
              <w:pStyle w:val="Compact"/>
              <w:jc w:val="left"/>
            </w:pPr>
            <w:r>
              <w:t xml:space="preserve">EGWP / EGHP</w:t>
            </w:r>
          </w:p>
        </w:tc>
        <w:tc>
          <w:tcPr/>
          <w:p>
            <w:pPr>
              <w:pStyle w:val="Compact"/>
              <w:jc w:val="left"/>
            </w:pPr>
            <w:r>
              <w:t xml:space="preserve">Employer Group Waiver Plan; group MA for retirees</w:t>
            </w:r>
          </w:p>
        </w:tc>
      </w:tr>
      <w:tr>
        <w:tc>
          <w:tcPr/>
          <w:p>
            <w:pPr>
              <w:pStyle w:val="Compact"/>
              <w:jc w:val="left"/>
            </w:pPr>
            <w:r>
              <w:t xml:space="preserve">ESRD</w:t>
            </w:r>
          </w:p>
        </w:tc>
        <w:tc>
          <w:tcPr/>
          <w:p>
            <w:pPr>
              <w:pStyle w:val="Compact"/>
              <w:jc w:val="left"/>
            </w:pPr>
            <w:r>
              <w:t xml:space="preserve">End-stage renal disease; separate CMS risk model segments</w:t>
            </w:r>
          </w:p>
        </w:tc>
      </w:tr>
      <w:tr>
        <w:tc>
          <w:tcPr/>
          <w:p>
            <w:pPr>
              <w:pStyle w:val="Compact"/>
              <w:jc w:val="left"/>
            </w:pPr>
            <w:r>
              <w:t xml:space="preserve">FFS</w:t>
            </w:r>
          </w:p>
        </w:tc>
        <w:tc>
          <w:tcPr/>
          <w:p>
            <w:pPr>
              <w:pStyle w:val="Compact"/>
              <w:jc w:val="left"/>
            </w:pPr>
            <w:r>
              <w:t xml:space="preserve">Fee-for-service, Original Medicare</w:t>
            </w:r>
          </w:p>
        </w:tc>
      </w:tr>
      <w:tr>
        <w:tc>
          <w:tcPr/>
          <w:p>
            <w:pPr>
              <w:pStyle w:val="Compact"/>
              <w:jc w:val="left"/>
            </w:pPr>
            <w:r>
              <w:t xml:space="preserve">FIDE SNP</w:t>
            </w:r>
          </w:p>
        </w:tc>
        <w:tc>
          <w:tcPr/>
          <w:p>
            <w:pPr>
              <w:pStyle w:val="Compact"/>
              <w:jc w:val="left"/>
            </w:pPr>
            <w:r>
              <w:t xml:space="preserve">Fully Integrated Dual Eligible SNP: one entity holds the Medicare and Medicaid contracts and covers LTSS</w:t>
            </w:r>
          </w:p>
        </w:tc>
      </w:tr>
      <w:tr>
        <w:tc>
          <w:tcPr/>
          <w:p>
            <w:pPr>
              <w:pStyle w:val="Compact"/>
              <w:jc w:val="left"/>
            </w:pPr>
            <w:r>
              <w:t xml:space="preserve">FIPS</w:t>
            </w:r>
          </w:p>
        </w:tc>
        <w:tc>
          <w:tcPr/>
          <w:p>
            <w:pPr>
              <w:pStyle w:val="Compact"/>
              <w:jc w:val="left"/>
            </w:pPr>
            <w:r>
              <w:t xml:space="preserve">Federal county code used by Census, CDC, Google PDFM; differs from the CMS SSA code</w:t>
            </w:r>
          </w:p>
        </w:tc>
      </w:tr>
      <w:tr>
        <w:tc>
          <w:tcPr/>
          <w:p>
            <w:pPr>
              <w:pStyle w:val="Compact"/>
              <w:jc w:val="left"/>
            </w:pPr>
            <w:r>
              <w:t xml:space="preserve">HCBS</w:t>
            </w:r>
          </w:p>
        </w:tc>
        <w:tc>
          <w:tcPr/>
          <w:p>
            <w:pPr>
              <w:pStyle w:val="Compact"/>
              <w:jc w:val="left"/>
            </w:pPr>
            <w:r>
              <w:t xml:space="preserve">Home and community-based services (Medicaid waiver LTSS at home)</w:t>
            </w:r>
          </w:p>
        </w:tc>
      </w:tr>
      <w:tr>
        <w:tc>
          <w:tcPr/>
          <w:p>
            <w:pPr>
              <w:pStyle w:val="Compact"/>
              <w:jc w:val="left"/>
            </w:pPr>
            <w:r>
              <w:t xml:space="preserve">HIDE SNP</w:t>
            </w:r>
          </w:p>
        </w:tc>
        <w:tc>
          <w:tcPr/>
          <w:p>
            <w:pPr>
              <w:pStyle w:val="Compact"/>
              <w:jc w:val="left"/>
            </w:pPr>
            <w:r>
              <w:t xml:space="preserve">Highly Integrated Dual Eligible SNP: capitated Medicaid LTSS and/or behavioral health</w:t>
            </w:r>
          </w:p>
        </w:tc>
      </w:tr>
      <w:tr>
        <w:tc>
          <w:tcPr/>
          <w:p>
            <w:pPr>
              <w:pStyle w:val="Compact"/>
              <w:jc w:val="left"/>
            </w:pPr>
            <w:r>
              <w:t xml:space="preserve">HRA</w:t>
            </w:r>
          </w:p>
        </w:tc>
        <w:tc>
          <w:tcPr/>
          <w:p>
            <w:pPr>
              <w:pStyle w:val="Compact"/>
              <w:jc w:val="left"/>
            </w:pPr>
            <w:r>
              <w:t xml:space="preserve">Health Risk Assessment; SNPs must complete within 90 days of enrollment</w:t>
            </w:r>
          </w:p>
        </w:tc>
      </w:tr>
      <w:tr>
        <w:tc>
          <w:tcPr/>
          <w:p>
            <w:pPr>
              <w:pStyle w:val="Compact"/>
              <w:jc w:val="left"/>
            </w:pPr>
            <w:r>
              <w:t xml:space="preserve">ICEP</w:t>
            </w:r>
          </w:p>
        </w:tc>
        <w:tc>
          <w:tcPr/>
          <w:p>
            <w:pPr>
              <w:pStyle w:val="Compact"/>
              <w:jc w:val="left"/>
            </w:pPr>
            <w:r>
              <w:t xml:space="preserve">Initial Coverage Election Period for MA when first entitled to Medicare (age-in)</w:t>
            </w:r>
          </w:p>
        </w:tc>
      </w:tr>
      <w:tr>
        <w:tc>
          <w:tcPr/>
          <w:p>
            <w:pPr>
              <w:pStyle w:val="Compact"/>
              <w:jc w:val="left"/>
            </w:pPr>
            <w:r>
              <w:t xml:space="preserve">IEP</w:t>
            </w:r>
          </w:p>
        </w:tc>
        <w:tc>
          <w:tcPr/>
          <w:p>
            <w:pPr>
              <w:pStyle w:val="Compact"/>
              <w:jc w:val="left"/>
            </w:pPr>
            <w:r>
              <w:t xml:space="preserve">Initial Enrollment Period for Part B / Part D, 7 months around eligibility</w:t>
            </w:r>
          </w:p>
        </w:tc>
      </w:tr>
      <w:tr>
        <w:tc>
          <w:tcPr/>
          <w:p>
            <w:pPr>
              <w:pStyle w:val="Compact"/>
              <w:jc w:val="left"/>
            </w:pPr>
            <w:r>
              <w:t xml:space="preserve">I-SNP</w:t>
            </w:r>
          </w:p>
        </w:tc>
        <w:tc>
          <w:tcPr/>
          <w:p>
            <w:pPr>
              <w:pStyle w:val="Compact"/>
              <w:jc w:val="left"/>
            </w:pPr>
            <w:r>
              <w:t xml:space="preserve">Institutional Special Needs Plan</w:t>
            </w:r>
          </w:p>
        </w:tc>
      </w:tr>
      <w:tr>
        <w:tc>
          <w:tcPr/>
          <w:p>
            <w:pPr>
              <w:pStyle w:val="Compact"/>
              <w:jc w:val="left"/>
            </w:pPr>
            <w:r>
              <w:t xml:space="preserve">LIS</w:t>
            </w:r>
          </w:p>
        </w:tc>
        <w:tc>
          <w:tcPr/>
          <w:p>
            <w:pPr>
              <w:pStyle w:val="Compact"/>
              <w:jc w:val="left"/>
            </w:pPr>
            <w:r>
              <w:t xml:space="preserve">Part D Low-Income Subsidy (</w:t>
            </w:r>
            <w:r>
              <w:t xml:space="preserve">“</w:t>
            </w:r>
            <w:r>
              <w:t xml:space="preserve">Extra Help</w:t>
            </w:r>
            <w:r>
              <w:t xml:space="preserve">”</w:t>
            </w:r>
            <w:r>
              <w:t xml:space="preserve">)</w:t>
            </w:r>
          </w:p>
        </w:tc>
      </w:tr>
      <w:tr>
        <w:tc>
          <w:tcPr/>
          <w:p>
            <w:pPr>
              <w:pStyle w:val="Compact"/>
              <w:jc w:val="left"/>
            </w:pPr>
            <w:r>
              <w:t xml:space="preserve">LPPO / RPPO</w:t>
            </w:r>
          </w:p>
        </w:tc>
        <w:tc>
          <w:tcPr/>
          <w:p>
            <w:pPr>
              <w:pStyle w:val="Compact"/>
              <w:jc w:val="left"/>
            </w:pPr>
            <w:r>
              <w:t xml:space="preserve">Local PPO (county service area, H contract) / Regional PPO (CMS region, R contract)</w:t>
            </w:r>
          </w:p>
        </w:tc>
      </w:tr>
      <w:tr>
        <w:tc>
          <w:tcPr/>
          <w:p>
            <w:pPr>
              <w:pStyle w:val="Compact"/>
              <w:jc w:val="left"/>
            </w:pPr>
            <w:r>
              <w:t xml:space="preserve">LTSS</w:t>
            </w:r>
          </w:p>
        </w:tc>
        <w:tc>
          <w:tcPr/>
          <w:p>
            <w:pPr>
              <w:pStyle w:val="Compact"/>
              <w:jc w:val="left"/>
            </w:pPr>
            <w:r>
              <w:t xml:space="preserve">Long-term services and supports</w:t>
            </w:r>
          </w:p>
        </w:tc>
      </w:tr>
      <w:tr>
        <w:tc>
          <w:tcPr/>
          <w:p>
            <w:pPr>
              <w:pStyle w:val="Compact"/>
              <w:jc w:val="left"/>
            </w:pPr>
            <w:r>
              <w:t xml:space="preserve">MA / MA-PD</w:t>
            </w:r>
          </w:p>
        </w:tc>
        <w:tc>
          <w:tcPr/>
          <w:p>
            <w:pPr>
              <w:pStyle w:val="Compact"/>
              <w:jc w:val="left"/>
            </w:pPr>
            <w:r>
              <w:t xml:space="preserve">Medicare Advantage / Medicare Advantage with Part D</w:t>
            </w:r>
          </w:p>
        </w:tc>
      </w:tr>
      <w:tr>
        <w:tc>
          <w:tcPr/>
          <w:p>
            <w:pPr>
              <w:pStyle w:val="Compact"/>
              <w:jc w:val="left"/>
            </w:pPr>
            <w:r>
              <w:t xml:space="preserve">MMR / MOR</w:t>
            </w:r>
          </w:p>
        </w:tc>
        <w:tc>
          <w:tcPr/>
          <w:p>
            <w:pPr>
              <w:pStyle w:val="Compact"/>
              <w:jc w:val="left"/>
            </w:pPr>
            <w:r>
              <w:t xml:space="preserve">Monthly Membership Report / Model Output Report from CMS, carrying RAF, demographics and HCCs</w:t>
            </w:r>
          </w:p>
        </w:tc>
      </w:tr>
      <w:tr>
        <w:tc>
          <w:tcPr/>
          <w:p>
            <w:pPr>
              <w:pStyle w:val="Compact"/>
              <w:jc w:val="left"/>
            </w:pPr>
            <w:r>
              <w:t xml:space="preserve">MOOP</w:t>
            </w:r>
          </w:p>
        </w:tc>
        <w:tc>
          <w:tcPr/>
          <w:p>
            <w:pPr>
              <w:pStyle w:val="Compact"/>
              <w:jc w:val="left"/>
            </w:pPr>
            <w:r>
              <w:t xml:space="preserve">Maximum out-of-pocket (in-network and combined)</w:t>
            </w:r>
          </w:p>
        </w:tc>
      </w:tr>
      <w:tr>
        <w:tc>
          <w:tcPr/>
          <w:p>
            <w:pPr>
              <w:pStyle w:val="Compact"/>
              <w:jc w:val="left"/>
            </w:pPr>
            <w:r>
              <w:t xml:space="preserve">MPPP</w:t>
            </w:r>
          </w:p>
        </w:tc>
        <w:tc>
          <w:tcPr/>
          <w:p>
            <w:pPr>
              <w:pStyle w:val="Compact"/>
              <w:jc w:val="left"/>
            </w:pPr>
            <w:r>
              <w:t xml:space="preserve">Medicare Prescription Payment Plan, monthly spreading of Part D cost sharing, from 2025</w:t>
            </w:r>
          </w:p>
        </w:tc>
      </w:tr>
      <w:tr>
        <w:tc>
          <w:tcPr/>
          <w:p>
            <w:pPr>
              <w:pStyle w:val="Compact"/>
              <w:jc w:val="left"/>
            </w:pPr>
            <w:r>
              <w:t xml:space="preserve">OEP</w:t>
            </w:r>
          </w:p>
        </w:tc>
        <w:tc>
          <w:tcPr/>
          <w:p>
            <w:pPr>
              <w:pStyle w:val="Compact"/>
              <w:jc w:val="left"/>
            </w:pPr>
            <w:r>
              <w:t xml:space="preserve">MA Open Enrollment Period, January 1 to March 31, one switch for existing MA members</w:t>
            </w:r>
          </w:p>
        </w:tc>
      </w:tr>
      <w:tr>
        <w:tc>
          <w:tcPr/>
          <w:p>
            <w:pPr>
              <w:pStyle w:val="Compact"/>
              <w:jc w:val="left"/>
            </w:pPr>
            <w:r>
              <w:t xml:space="preserve">OREC</w:t>
            </w:r>
          </w:p>
        </w:tc>
        <w:tc>
          <w:tcPr/>
          <w:p>
            <w:pPr>
              <w:pStyle w:val="Compact"/>
              <w:jc w:val="left"/>
            </w:pPr>
            <w:r>
              <w:t xml:space="preserve">Original reason for entitlement code (age, disability, ESRD)</w:t>
            </w:r>
          </w:p>
        </w:tc>
      </w:tr>
      <w:tr>
        <w:tc>
          <w:tcPr/>
          <w:p>
            <w:pPr>
              <w:pStyle w:val="Compact"/>
              <w:jc w:val="left"/>
            </w:pPr>
            <w:r>
              <w:t xml:space="preserve">OSB</w:t>
            </w:r>
          </w:p>
        </w:tc>
        <w:tc>
          <w:tcPr/>
          <w:p>
            <w:pPr>
              <w:pStyle w:val="Compact"/>
              <w:jc w:val="left"/>
            </w:pPr>
            <w:r>
              <w:t xml:space="preserve">Optional supplemental benefit, bought for an extra premium</w:t>
            </w:r>
          </w:p>
        </w:tc>
      </w:tr>
      <w:tr>
        <w:tc>
          <w:tcPr/>
          <w:p>
            <w:pPr>
              <w:pStyle w:val="Compact"/>
              <w:jc w:val="left"/>
            </w:pPr>
            <w:r>
              <w:t xml:space="preserve">OTC</w:t>
            </w:r>
          </w:p>
        </w:tc>
        <w:tc>
          <w:tcPr/>
          <w:p>
            <w:pPr>
              <w:pStyle w:val="Compact"/>
              <w:jc w:val="left"/>
            </w:pPr>
            <w:r>
              <w:t xml:space="preserve">Over-the-counter allowance, usually on a card</w:t>
            </w:r>
          </w:p>
        </w:tc>
      </w:tr>
      <w:tr>
        <w:tc>
          <w:tcPr/>
          <w:p>
            <w:pPr>
              <w:pStyle w:val="Compact"/>
              <w:jc w:val="left"/>
            </w:pPr>
            <w:r>
              <w:t xml:space="preserve">PBP</w:t>
            </w:r>
          </w:p>
        </w:tc>
        <w:tc>
          <w:tcPr/>
          <w:p>
            <w:pPr>
              <w:pStyle w:val="Compact"/>
              <w:jc w:val="left"/>
            </w:pPr>
            <w:r>
              <w:t xml:space="preserve">Plan Benefit Package, the 3-character plan ID inside a contract</w:t>
            </w:r>
          </w:p>
        </w:tc>
      </w:tr>
      <w:tr>
        <w:tc>
          <w:tcPr/>
          <w:p>
            <w:pPr>
              <w:pStyle w:val="Compact"/>
              <w:jc w:val="left"/>
            </w:pPr>
            <w:r>
              <w:t xml:space="preserve">PDE</w:t>
            </w:r>
          </w:p>
        </w:tc>
        <w:tc>
          <w:tcPr/>
          <w:p>
            <w:pPr>
              <w:pStyle w:val="Compact"/>
              <w:jc w:val="left"/>
            </w:pPr>
            <w:r>
              <w:t xml:space="preserve">Prescription drug event, the Part D claim record</w:t>
            </w:r>
          </w:p>
        </w:tc>
      </w:tr>
      <w:tr>
        <w:tc>
          <w:tcPr/>
          <w:p>
            <w:pPr>
              <w:pStyle w:val="Compact"/>
              <w:jc w:val="left"/>
            </w:pPr>
            <w:r>
              <w:t xml:space="preserve">PDFM</w:t>
            </w:r>
          </w:p>
        </w:tc>
        <w:tc>
          <w:tcPr/>
          <w:p>
            <w:pPr>
              <w:pStyle w:val="Compact"/>
              <w:jc w:val="left"/>
            </w:pPr>
            <w:r>
              <w:t xml:space="preserve">Google Population Dynamics Foundation Model embeddings (330-d per ZCTA or county, monthly under the UHC contract)</w:t>
            </w:r>
          </w:p>
        </w:tc>
      </w:tr>
      <w:tr>
        <w:tc>
          <w:tcPr/>
          <w:p>
            <w:pPr>
              <w:pStyle w:val="Compact"/>
              <w:jc w:val="left"/>
            </w:pPr>
            <w:r>
              <w:t xml:space="preserve">PDP</w:t>
            </w:r>
          </w:p>
        </w:tc>
        <w:tc>
          <w:tcPr/>
          <w:p>
            <w:pPr>
              <w:pStyle w:val="Compact"/>
              <w:jc w:val="left"/>
            </w:pPr>
            <w:r>
              <w:t xml:space="preserve">Standalone Part D prescription drug plan (S contract)</w:t>
            </w:r>
          </w:p>
        </w:tc>
      </w:tr>
      <w:tr>
        <w:tc>
          <w:tcPr/>
          <w:p>
            <w:pPr>
              <w:pStyle w:val="Compact"/>
              <w:jc w:val="left"/>
            </w:pPr>
            <w:r>
              <w:t xml:space="preserve">QMB / SLMB / QI / QDWI</w:t>
            </w:r>
          </w:p>
        </w:tc>
        <w:tc>
          <w:tcPr/>
          <w:p>
            <w:pPr>
              <w:pStyle w:val="Compact"/>
              <w:jc w:val="left"/>
            </w:pPr>
            <w:r>
              <w:t xml:space="preserve">Medicare Savings Program categories; QMB+ and SLMB+ denote full Medicaid in addition</w:t>
            </w:r>
          </w:p>
        </w:tc>
      </w:tr>
      <w:tr>
        <w:tc>
          <w:tcPr/>
          <w:p>
            <w:pPr>
              <w:pStyle w:val="Compact"/>
              <w:jc w:val="left"/>
            </w:pPr>
            <w:r>
              <w:t xml:space="preserve">RAF</w:t>
            </w:r>
          </w:p>
        </w:tc>
        <w:tc>
          <w:tcPr/>
          <w:p>
            <w:pPr>
              <w:pStyle w:val="Compact"/>
              <w:jc w:val="left"/>
            </w:pPr>
            <w:r>
              <w:t xml:space="preserve">Risk adjustment factor</w:t>
            </w:r>
          </w:p>
        </w:tc>
      </w:tr>
      <w:tr>
        <w:tc>
          <w:tcPr/>
          <w:p>
            <w:pPr>
              <w:pStyle w:val="Compact"/>
              <w:jc w:val="left"/>
            </w:pPr>
            <w:r>
              <w:t xml:space="preserve">SEP</w:t>
            </w:r>
          </w:p>
        </w:tc>
        <w:tc>
          <w:tcPr/>
          <w:p>
            <w:pPr>
              <w:pStyle w:val="Compact"/>
              <w:jc w:val="left"/>
            </w:pPr>
            <w:r>
              <w:t xml:space="preserve">Special Enrollment Period (move, dual/LIS change, non-renewal, 5-star, disaster, employer coverage loss, etc.)</w:t>
            </w:r>
          </w:p>
        </w:tc>
      </w:tr>
      <w:tr>
        <w:tc>
          <w:tcPr/>
          <w:p>
            <w:pPr>
              <w:pStyle w:val="Compact"/>
              <w:jc w:val="left"/>
            </w:pPr>
            <w:r>
              <w:t xml:space="preserve">SMAC</w:t>
            </w:r>
          </w:p>
        </w:tc>
        <w:tc>
          <w:tcPr/>
          <w:p>
            <w:pPr>
              <w:pStyle w:val="Compact"/>
              <w:jc w:val="left"/>
            </w:pPr>
            <w:r>
              <w:t xml:space="preserve">State Medicaid Agency Contract required for a D-SNP</w:t>
            </w:r>
          </w:p>
        </w:tc>
      </w:tr>
      <w:tr>
        <w:tc>
          <w:tcPr/>
          <w:p>
            <w:pPr>
              <w:pStyle w:val="Compact"/>
              <w:jc w:val="left"/>
            </w:pPr>
            <w:r>
              <w:t xml:space="preserve">SSA county code</w:t>
            </w:r>
          </w:p>
        </w:tc>
        <w:tc>
          <w:tcPr/>
          <w:p>
            <w:pPr>
              <w:pStyle w:val="Compact"/>
              <w:jc w:val="left"/>
            </w:pPr>
            <w:r>
              <w:t xml:space="preserve">CMS’s 5-character state+county code used in MMR, rate book, CPSC</w:t>
            </w:r>
          </w:p>
        </w:tc>
      </w:tr>
      <w:tr>
        <w:tc>
          <w:tcPr/>
          <w:p>
            <w:pPr>
              <w:pStyle w:val="Compact"/>
              <w:jc w:val="left"/>
            </w:pPr>
            <w:r>
              <w:t xml:space="preserve">SSBCI</w:t>
            </w:r>
          </w:p>
        </w:tc>
        <w:tc>
          <w:tcPr/>
          <w:p>
            <w:pPr>
              <w:pStyle w:val="Compact"/>
              <w:jc w:val="left"/>
            </w:pPr>
            <w:r>
              <w:t xml:space="preserve">Special Supplemental Benefits for the Chronically Ill (food, utilities, general supports)</w:t>
            </w:r>
          </w:p>
        </w:tc>
      </w:tr>
      <w:tr>
        <w:tc>
          <w:tcPr/>
          <w:p>
            <w:pPr>
              <w:pStyle w:val="Compact"/>
              <w:jc w:val="left"/>
            </w:pPr>
            <w:r>
              <w:t xml:space="preserve">TrOOP</w:t>
            </w:r>
          </w:p>
        </w:tc>
        <w:tc>
          <w:tcPr/>
          <w:p>
            <w:pPr>
              <w:pStyle w:val="Compact"/>
              <w:jc w:val="left"/>
            </w:pPr>
            <w:r>
              <w:t xml:space="preserve">True out-of-pocket Part D spending counted toward the cap</w:t>
            </w:r>
          </w:p>
        </w:tc>
      </w:tr>
      <w:tr>
        <w:tc>
          <w:tcPr/>
          <w:p>
            <w:pPr>
              <w:pStyle w:val="Compact"/>
              <w:jc w:val="left"/>
            </w:pPr>
            <w:r>
              <w:t xml:space="preserve">UCard</w:t>
            </w:r>
          </w:p>
        </w:tc>
        <w:tc>
          <w:tcPr/>
          <w:p>
            <w:pPr>
              <w:pStyle w:val="Compact"/>
              <w:jc w:val="left"/>
            </w:pPr>
            <w:r>
              <w:t xml:space="preserve">UHC’s combined member ID, OTC, food, utility and rewards card</w:t>
            </w:r>
          </w:p>
        </w:tc>
      </w:tr>
      <w:tr>
        <w:tc>
          <w:tcPr/>
          <w:p>
            <w:pPr>
              <w:pStyle w:val="Compact"/>
              <w:jc w:val="left"/>
            </w:pPr>
            <w:r>
              <w:t xml:space="preserve">VBID</w:t>
            </w:r>
          </w:p>
        </w:tc>
        <w:tc>
          <w:tcPr/>
          <w:p>
            <w:pPr>
              <w:pStyle w:val="Compact"/>
              <w:jc w:val="left"/>
            </w:pPr>
            <w:r>
              <w:t xml:space="preserve">Value-Based Insurance Design CMS model, ended December 31, 2025</w:t>
            </w:r>
          </w:p>
        </w:tc>
      </w:tr>
      <w:tr>
        <w:tc>
          <w:tcPr/>
          <w:p>
            <w:pPr>
              <w:pStyle w:val="Compact"/>
              <w:jc w:val="left"/>
            </w:pPr>
            <w:r>
              <w:t xml:space="preserve">ZCTA</w:t>
            </w:r>
          </w:p>
        </w:tc>
        <w:tc>
          <w:tcPr/>
          <w:p>
            <w:pPr>
              <w:pStyle w:val="Compact"/>
              <w:jc w:val="left"/>
            </w:pPr>
            <w:r>
              <w:t xml:space="preserve">ZIP Code Tabulation Area, the Census geography PDFM embeddings use</w:t>
            </w:r>
          </w:p>
        </w:tc>
      </w:tr>
    </w:tbl>
    <w:bookmarkEnd w:id="33"/>
    <w:bookmarkStart w:id="34" w:name="sources"/>
    <w:p>
      <w:pPr>
        <w:pStyle w:val="Heading1"/>
      </w:pPr>
      <w:r>
        <w:t xml:space="preserve">Sources</w:t>
      </w:r>
    </w:p>
    <w:p>
      <w:pPr>
        <w:pStyle w:val="FirstParagraph"/>
      </w:pPr>
      <w:r>
        <w:t xml:space="preserve">All pages were opened on 2026-10-09. Items marked unverified in the text (column headers inside CMS ZIPs, the 390,000 figure for 2027 discontinued-plan members) should be confirmed before production use. Verified on 2026-10-09 against the UHC 2027 press release: 94%+ reach, ~90% $0 option, ~95% HMO access, D-SNP ~74%, C-SNP ~48M, 60,000+ pharmacies, 70,000+ retail locations, $175+ HMO vs LPPO saving, 95%+ of non-SNP members never reaching the OOP max. A</w:t>
      </w:r>
      <w:r>
        <w:t xml:space="preserve"> </w:t>
      </w:r>
      <w:r>
        <w:t xml:space="preserve">“</w:t>
      </w:r>
      <w:r>
        <w:t xml:space="preserve">41 states, down from 43</w:t>
      </w:r>
      <w:r>
        <w:t xml:space="preserve">”</w:t>
      </w:r>
      <w:r>
        <w:t xml:space="preserve"> </w:t>
      </w:r>
      <w:r>
        <w:t xml:space="preserve">figure circulating in press coverage refers to Aetna, not UHC, and was removed.</w:t>
      </w:r>
    </w:p>
    <w:p>
      <w:pPr>
        <w:pStyle w:val="BodyText"/>
      </w:pPr>
      <w:r>
        <w:rPr>
          <w:bCs/>
          <w:b/>
        </w:rPr>
        <w:t xml:space="preserve">UHC announcements and filings</w:t>
      </w:r>
    </w:p>
    <w:p>
      <w:pPr>
        <w:numPr>
          <w:ilvl w:val="0"/>
          <w:numId w:val="1019"/>
        </w:numPr>
        <w:pStyle w:val="Compact"/>
      </w:pPr>
      <w:r>
        <w:t xml:space="preserve">UHC 2024 Medicare Advantage plans (Oct 1, 2023): https://www.unitedhealthgroup.com/newsroom/2023/2023-10-01-uhc-2024-medicare-advantage-new-benefits.html</w:t>
      </w:r>
    </w:p>
    <w:p>
      <w:pPr>
        <w:numPr>
          <w:ilvl w:val="0"/>
          <w:numId w:val="1019"/>
        </w:numPr>
        <w:pStyle w:val="Compact"/>
      </w:pPr>
      <w:r>
        <w:t xml:space="preserve">UHC 2025 Medicare Advantage plans (Oct 1, 2024): https://www.unitedhealthgroup.com/newsroom/2024/2024-10-01-uhc-2025-medicare-advantage-new-benefits.html</w:t>
      </w:r>
    </w:p>
    <w:p>
      <w:pPr>
        <w:numPr>
          <w:ilvl w:val="0"/>
          <w:numId w:val="1019"/>
        </w:numPr>
        <w:pStyle w:val="Compact"/>
      </w:pPr>
      <w:r>
        <w:t xml:space="preserve">UHC 2026 Medicare Advantage plans (Oct 1, 2025): https://www.unitedhealthgroup.com/newsroom/2025/2025-10-01-uhc-2026-medicare-advantage-plans-deliver-value-access-consumer-choice.html</w:t>
      </w:r>
    </w:p>
    <w:p>
      <w:pPr>
        <w:numPr>
          <w:ilvl w:val="0"/>
          <w:numId w:val="1019"/>
        </w:numPr>
        <w:pStyle w:val="Compact"/>
      </w:pPr>
      <w:r>
        <w:t xml:space="preserve">UHC 2027 Medicare plans (Oct 1, 2026): https://www.unitedhealthgroup.com/newsroom/2026/2026-10-01-uhc-2027-medicare-plans-focus-on-affordability-simplicity.html</w:t>
      </w:r>
    </w:p>
    <w:p>
      <w:pPr>
        <w:numPr>
          <w:ilvl w:val="0"/>
          <w:numId w:val="1019"/>
        </w:numPr>
        <w:pStyle w:val="Compact"/>
      </w:pPr>
      <w:r>
        <w:t xml:space="preserve">UHC 2027 service area reductions provider FAQ: https://www.uhcprovider.com/content/dam/provider/docs/public/health-plans/medicare/2027/2027-MED-ADV-Service-Area-Reductions-Provider-FAQs.pdf</w:t>
      </w:r>
    </w:p>
    <w:p>
      <w:pPr>
        <w:numPr>
          <w:ilvl w:val="0"/>
          <w:numId w:val="1019"/>
        </w:numPr>
        <w:pStyle w:val="Compact"/>
      </w:pPr>
      <w:r>
        <w:t xml:space="preserve">UHC provider notice on SNP chronic condition requirement for SSBCI: https://www.uhcprovider.com/en/resource-library/news/2025/cms-chronic-condition-requirement-snp.html</w:t>
      </w:r>
    </w:p>
    <w:p>
      <w:pPr>
        <w:numPr>
          <w:ilvl w:val="0"/>
          <w:numId w:val="1019"/>
        </w:numPr>
        <w:pStyle w:val="Compact"/>
      </w:pPr>
      <w:r>
        <w:t xml:space="preserve">UHG Q4 2024 earnings exhibit (SEC): https://www.sec.gov/Archives/edgar/data/731766/000073176625000022/a2024q4exhibit991.htm</w:t>
      </w:r>
    </w:p>
    <w:p>
      <w:pPr>
        <w:pStyle w:val="FirstParagraph"/>
      </w:pPr>
      <w:r>
        <w:rPr>
          <w:bCs/>
          <w:b/>
        </w:rPr>
        <w:t xml:space="preserve">CMS policy and payment</w:t>
      </w:r>
    </w:p>
    <w:p>
      <w:pPr>
        <w:numPr>
          <w:ilvl w:val="0"/>
          <w:numId w:val="1020"/>
        </w:numPr>
        <w:pStyle w:val="Compact"/>
      </w:pPr>
      <w:r>
        <w:t xml:space="preserve">CMS 2024 rate announcement: https://www.cms.gov/newsroom/press-releases/hhs-updates-2024-medicare-advantage-program-and-part-d-payment-policies and https://www.cms.gov/files/document/2024-announcement-pdf.pdf</w:t>
      </w:r>
    </w:p>
    <w:p>
      <w:pPr>
        <w:numPr>
          <w:ilvl w:val="0"/>
          <w:numId w:val="1020"/>
        </w:numPr>
        <w:pStyle w:val="Compact"/>
      </w:pPr>
      <w:r>
        <w:t xml:space="preserve">CMS 2025 rate announcement: https://www.cms.gov/newsroom/fact-sheets/2025-medicare-advantage-and-part-d-rate-announcement</w:t>
      </w:r>
    </w:p>
    <w:p>
      <w:pPr>
        <w:numPr>
          <w:ilvl w:val="0"/>
          <w:numId w:val="1020"/>
        </w:numPr>
        <w:pStyle w:val="Compact"/>
      </w:pPr>
      <w:r>
        <w:t xml:space="preserve">CMS 2026 rate announcement: https://www.cms.gov/newsroom/fact-sheets/2026-medicare-advantage-part-d-rate-announcement</w:t>
      </w:r>
    </w:p>
    <w:p>
      <w:pPr>
        <w:numPr>
          <w:ilvl w:val="0"/>
          <w:numId w:val="1020"/>
        </w:numPr>
        <w:pStyle w:val="Compact"/>
      </w:pPr>
      <w:r>
        <w:t xml:space="preserve">CMS 2027 rate announcement: https://www.cms.gov/newsroom/fact-sheets/2027-medicare-advantage-part-d-rate-announcement and https://www.cms.gov/files/document/2027-announcement.pdf</w:t>
      </w:r>
    </w:p>
    <w:p>
      <w:pPr>
        <w:numPr>
          <w:ilvl w:val="0"/>
          <w:numId w:val="1020"/>
        </w:numPr>
        <w:pStyle w:val="Compact"/>
      </w:pPr>
      <w:r>
        <w:t xml:space="preserve">CMS report to Congress on risk adjustment, Dec 2024: https://www.cms.gov/files/document/report-congress-risk-adjustment-medicare-advantage-december-2024.pdf</w:t>
      </w:r>
    </w:p>
    <w:p>
      <w:pPr>
        <w:numPr>
          <w:ilvl w:val="0"/>
          <w:numId w:val="1020"/>
        </w:numPr>
        <w:pStyle w:val="Compact"/>
      </w:pPr>
      <w:r>
        <w:t xml:space="preserve">CMS-HCC relative factor tables (new enrollee): https://www.cms.gov/files/document/revised-cms-hcc-model-relative-factor-tablespdf</w:t>
      </w:r>
    </w:p>
    <w:p>
      <w:pPr>
        <w:numPr>
          <w:ilvl w:val="0"/>
          <w:numId w:val="1020"/>
        </w:numPr>
        <w:pStyle w:val="Compact"/>
      </w:pPr>
      <w:r>
        <w:t xml:space="preserve">CMS CY2025 final rule fact sheet (CMS-4205-F): https://www.cms.gov/newsroom/fact-sheets/contract-year-2025-medicare-advantage-and-part-d-final-rule-cms-4205-f</w:t>
      </w:r>
    </w:p>
    <w:p>
      <w:pPr>
        <w:numPr>
          <w:ilvl w:val="0"/>
          <w:numId w:val="1020"/>
        </w:numPr>
        <w:pStyle w:val="Compact"/>
      </w:pPr>
      <w:r>
        <w:t xml:space="preserve">CMS CY2026 final rule fact sheet: https://www.cms.gov/newsroom/fact-sheets/contract-year-2026-policy-and-technical-changes-medicare-advantage-program-medicare-prescription-final</w:t>
      </w:r>
    </w:p>
    <w:p>
      <w:pPr>
        <w:numPr>
          <w:ilvl w:val="0"/>
          <w:numId w:val="1020"/>
        </w:numPr>
        <w:pStyle w:val="Compact"/>
      </w:pPr>
      <w:r>
        <w:t xml:space="preserve">CMS CY2027 final rule fact sheet (CMS-4212-F): https://www.cms.gov/newsroom/fact-sheets/contract-year-2027-medicare-advantage-part-d-final-rule</w:t>
      </w:r>
    </w:p>
    <w:p>
      <w:pPr>
        <w:numPr>
          <w:ilvl w:val="0"/>
          <w:numId w:val="1020"/>
        </w:numPr>
        <w:pStyle w:val="Compact"/>
      </w:pPr>
      <w:r>
        <w:t xml:space="preserve">CMS landscape releases: 2024 https://www.cms.gov/newsroom/press-releases/medicare-advantage-and-medicare-prescription-drug-programs-remain-stable-2024 ; 2025 https://www.cms.gov/newsroom/fact-sheets/medicare-advantage-medicare-prescription-drug-programs-remain-stable-cms-implements-improvements ; 2026 https://www.cms.gov/newsroom/press-releases/medicare-advantage-medicare-prescription-drug-programs-expected-remain-stable-2026 ; 2027 https://www.cms.gov/newsroom/press-releases/medicare-advantage-medicare-prescription-drug-programs-expected-remain-stable-2027</w:t>
      </w:r>
    </w:p>
    <w:p>
      <w:pPr>
        <w:numPr>
          <w:ilvl w:val="0"/>
          <w:numId w:val="1020"/>
        </w:numPr>
        <w:pStyle w:val="Compact"/>
      </w:pPr>
      <w:r>
        <w:t xml:space="preserve">CMS final CY2026 Part D redesign instructions: https://www.cms.gov/newsroom/fact-sheets/final-cy-2026-part-d-redesign-program-instructions</w:t>
      </w:r>
    </w:p>
    <w:p>
      <w:pPr>
        <w:numPr>
          <w:ilvl w:val="0"/>
          <w:numId w:val="1020"/>
        </w:numPr>
        <w:pStyle w:val="Compact"/>
      </w:pPr>
      <w:r>
        <w:t xml:space="preserve">CMS July 28, 2026 Parts C and D announcement (2027 Part D parameters): https://www.cms.gov/files/document/july-28-2026-parts-c-d-announcement.pdf</w:t>
      </w:r>
    </w:p>
    <w:p>
      <w:pPr>
        <w:numPr>
          <w:ilvl w:val="0"/>
          <w:numId w:val="1020"/>
        </w:numPr>
        <w:pStyle w:val="Compact"/>
      </w:pPr>
      <w:r>
        <w:t xml:space="preserve">CMS 2026 star ratings fact sheet: https://www.cms.gov/files/document/2026-star-ratings-fact-sheet.pdf</w:t>
      </w:r>
    </w:p>
    <w:p>
      <w:pPr>
        <w:numPr>
          <w:ilvl w:val="0"/>
          <w:numId w:val="1020"/>
        </w:numPr>
        <w:pStyle w:val="Compact"/>
      </w:pPr>
      <w:r>
        <w:t xml:space="preserve">CMS VBID model page: https://www.cms.gov/priorities/innovation/innovation-models/vbid</w:t>
      </w:r>
    </w:p>
    <w:p>
      <w:pPr>
        <w:numPr>
          <w:ilvl w:val="0"/>
          <w:numId w:val="1020"/>
        </w:numPr>
        <w:pStyle w:val="Compact"/>
      </w:pPr>
      <w:r>
        <w:t xml:space="preserve">CMS C-SNP chronic conditions page: https://cms.gov/medicare/enrollment-renewal/special-needs-plans/chronic-conditions</w:t>
      </w:r>
    </w:p>
    <w:p>
      <w:pPr>
        <w:numPr>
          <w:ilvl w:val="0"/>
          <w:numId w:val="1020"/>
        </w:numPr>
        <w:pStyle w:val="Compact"/>
      </w:pPr>
      <w:r>
        <w:t xml:space="preserve">CMS Managed Care Manual chapter 16b (SNPs): https://www.cms.gov/Medicare/Health-Plans/SpecialNeedsPlans/Downloads/Chapter-16b.pdf</w:t>
      </w:r>
    </w:p>
    <w:p>
      <w:pPr>
        <w:numPr>
          <w:ilvl w:val="0"/>
          <w:numId w:val="1020"/>
        </w:numPr>
        <w:pStyle w:val="Compact"/>
      </w:pPr>
      <w:r>
        <w:t xml:space="preserve">CMS D-SNP page with integration status files: https://www.cms.gov/medicare/medicaid-coordination/about/dsnps</w:t>
      </w:r>
    </w:p>
    <w:p>
      <w:pPr>
        <w:numPr>
          <w:ilvl w:val="0"/>
          <w:numId w:val="1020"/>
        </w:numPr>
        <w:pStyle w:val="Compact"/>
      </w:pPr>
      <w:r>
        <w:t xml:space="preserve">CMS CY2027 §422.514(h) FAQs: https://www.cms.gov/files/document/cy-2027-updates-514h-faqs-4-13-2026-clean.pdf</w:t>
      </w:r>
    </w:p>
    <w:p>
      <w:pPr>
        <w:numPr>
          <w:ilvl w:val="0"/>
          <w:numId w:val="1020"/>
        </w:numPr>
        <w:pStyle w:val="Compact"/>
      </w:pPr>
      <w:r>
        <w:t xml:space="preserve">Federal Register 89 FR 30448 (look-alike thresholds): https://www.govinfo.gov/content/pkg/FR-2024-04-23/html/2024-07105.htm</w:t>
      </w:r>
    </w:p>
    <w:p>
      <w:pPr>
        <w:numPr>
          <w:ilvl w:val="0"/>
          <w:numId w:val="1020"/>
        </w:numPr>
        <w:pStyle w:val="Compact"/>
      </w:pPr>
      <w:r>
        <w:t xml:space="preserve">Justice in Aging on 2025 dual/LIS SEPs: https://justiceinaging.org/important-changes-in-2025-to-special-enrollment-periods-for-low-income-medicare-enrollees/</w:t>
      </w:r>
    </w:p>
    <w:p>
      <w:pPr>
        <w:numPr>
          <w:ilvl w:val="0"/>
          <w:numId w:val="1020"/>
        </w:numPr>
        <w:pStyle w:val="Compact"/>
      </w:pPr>
      <w:r>
        <w:t xml:space="preserve">ICRC D-SNP definitions 2023 to 2025: https://www.integratedcareresourcecenter.com/sites/default/files/ICRC_DSNPDefinitions_2023-2025_0.pdf</w:t>
      </w:r>
    </w:p>
    <w:p>
      <w:pPr>
        <w:pStyle w:val="FirstParagraph"/>
      </w:pPr>
      <w:r>
        <w:rPr>
          <w:bCs/>
          <w:b/>
        </w:rPr>
        <w:t xml:space="preserve">CMS data files</w:t>
      </w:r>
    </w:p>
    <w:p>
      <w:pPr>
        <w:numPr>
          <w:ilvl w:val="0"/>
          <w:numId w:val="1021"/>
        </w:numPr>
        <w:pStyle w:val="Compact"/>
      </w:pPr>
      <w:r>
        <w:t xml:space="preserve">MA/PDP Landscape files: https://www.cms.gov/medicare/coverage/prescription-drug-coverage ; CY2025 format memo: https://cms.gov/files/document/cy2025-landscape-format-memo-20240919.pdf</w:t>
      </w:r>
    </w:p>
    <w:p>
      <w:pPr>
        <w:numPr>
          <w:ilvl w:val="0"/>
          <w:numId w:val="1021"/>
        </w:numPr>
        <w:pStyle w:val="Compact"/>
      </w:pPr>
      <w:r>
        <w:t xml:space="preserve">PBP Benefits data: https://www.cms.gov/data-research/statistics-trends-and-reports/medicare-advantagepart-d-contract-and-enrollment-data/benefits-data</w:t>
      </w:r>
    </w:p>
    <w:p>
      <w:pPr>
        <w:numPr>
          <w:ilvl w:val="0"/>
          <w:numId w:val="1021"/>
        </w:numPr>
        <w:pStyle w:val="Compact"/>
      </w:pPr>
      <w:r>
        <w:t xml:space="preserve">MPF Benefit Summary Report: https://www.cms.gov/data-research/statistics-trends-reports/medicare-advantage/part-d-contract-and-enrollment-data/mpf-benefit-summary-report</w:t>
      </w:r>
    </w:p>
    <w:p>
      <w:pPr>
        <w:numPr>
          <w:ilvl w:val="0"/>
          <w:numId w:val="1021"/>
        </w:numPr>
        <w:pStyle w:val="Compact"/>
      </w:pPr>
      <w:r>
        <w:t xml:space="preserve">Monthly enrollment by CPSC: https://cms.gov/data-research/statistics-trends-and-reports/medicare-advantagepart-d-contract-and-enrollment-data/monthly-enrollment-contract/plan/state/county</w:t>
      </w:r>
    </w:p>
    <w:p>
      <w:pPr>
        <w:numPr>
          <w:ilvl w:val="0"/>
          <w:numId w:val="1021"/>
        </w:numPr>
        <w:pStyle w:val="Compact"/>
      </w:pPr>
      <w:r>
        <w:t xml:space="preserve">SNP comprehensive reports: https://www.cms.gov/data-research/statistics-trends-and-reports/medicare-advantagepart-d-contract-and-enrollment-data/special-needs-plan-snp-data</w:t>
      </w:r>
    </w:p>
    <w:p>
      <w:pPr>
        <w:numPr>
          <w:ilvl w:val="0"/>
          <w:numId w:val="1021"/>
        </w:numPr>
        <w:pStyle w:val="Compact"/>
      </w:pPr>
      <w:r>
        <w:t xml:space="preserve">Plan crosswalks: https://www.cms.gov/data-research/statistics-trends-and-reports/medicare-advantagepart-d-contract-and-enrollment-data/plan-crosswalks</w:t>
      </w:r>
    </w:p>
    <w:p>
      <w:pPr>
        <w:numPr>
          <w:ilvl w:val="0"/>
          <w:numId w:val="1021"/>
        </w:numPr>
        <w:pStyle w:val="Compact"/>
      </w:pPr>
      <w:r>
        <w:t xml:space="preserve">Part C and D performance data (star ratings): https://www.cms.gov/medicare/health-drug-plans/part-c-d-performance-data</w:t>
      </w:r>
    </w:p>
    <w:p>
      <w:pPr>
        <w:numPr>
          <w:ilvl w:val="0"/>
          <w:numId w:val="1021"/>
        </w:numPr>
        <w:pStyle w:val="Compact"/>
      </w:pPr>
      <w:r>
        <w:t xml:space="preserve">Rate books and supporting data: https://www.cms.gov/medicare/payment/medicare-advantage-rates-statistics/ratebooks-supporting-data</w:t>
      </w:r>
    </w:p>
    <w:p>
      <w:pPr>
        <w:numPr>
          <w:ilvl w:val="0"/>
          <w:numId w:val="1021"/>
        </w:numPr>
        <w:pStyle w:val="Compact"/>
      </w:pPr>
      <w:r>
        <w:t xml:space="preserve">NBER SSA to FIPS crosswalk: https://www.nber.org/research/data/ssa-federal-information-processing-series-fips-state-and-county-crosswalk ; NBER rate book mirror: https://www.nber.org/research/data/medicare-advantage-ratebook-data</w:t>
      </w:r>
    </w:p>
    <w:p>
      <w:pPr>
        <w:numPr>
          <w:ilvl w:val="0"/>
          <w:numId w:val="1021"/>
        </w:numPr>
        <w:pStyle w:val="Compact"/>
      </w:pPr>
      <w:r>
        <w:t xml:space="preserve">Part D formulary, pharmacy network and pricing PUF (data.gov): https://catalog.data.gov/dataset/quarterly-prescription-drug-plan-formulary-pharmacy-network-and-pricing-information ; CMS record layout: https://www.cms.gov/files/document/pdplayoutmonthly2011pdf</w:t>
      </w:r>
    </w:p>
    <w:p>
      <w:pPr>
        <w:numPr>
          <w:ilvl w:val="0"/>
          <w:numId w:val="1021"/>
        </w:numPr>
        <w:pStyle w:val="Compact"/>
      </w:pPr>
      <w:r>
        <w:t xml:space="preserve">ResDAC contract number: https://resdac.org/cms-data/variables/medicare-part-c-contract-number ; PBP number: https://resdac.org/cms-data/variables/part-c-pbp-number-july</w:t>
      </w:r>
    </w:p>
    <w:p>
      <w:pPr>
        <w:numPr>
          <w:ilvl w:val="0"/>
          <w:numId w:val="1021"/>
        </w:numPr>
        <w:pStyle w:val="Compact"/>
      </w:pPr>
      <w:r>
        <w:t xml:space="preserve">CCW plan characteristics codebook: https://www2.ccwdata.org/documents/10280/19022436/codebook-plan-char.pdf</w:t>
      </w:r>
    </w:p>
    <w:p>
      <w:pPr>
        <w:pStyle w:val="FirstParagraph"/>
      </w:pPr>
      <w:r>
        <w:rPr>
          <w:bCs/>
          <w:b/>
        </w:rPr>
        <w:t xml:space="preserve">Analysis and trade press</w:t>
      </w:r>
    </w:p>
    <w:p>
      <w:pPr>
        <w:numPr>
          <w:ilvl w:val="0"/>
          <w:numId w:val="1022"/>
        </w:numPr>
        <w:pStyle w:val="Compact"/>
      </w:pPr>
      <w:r>
        <w:t xml:space="preserve">KFF MA 2024 spotlight: https://www.kff.org/medicare/report/medicare-advantage-2024-spotlight-first-look/ ; 2025 spotlight: https://www.kff.org/medicare/issue-brief/medicare-advantage-2025-spotlight-a-first-look-at-plan-offerings/ ; 2026 spotlight: https://www.kff.org/medicare/medicare-advantage-2026-spotlight-a-first-look-at-plan-offerings/ ; 2026 premiums and benefits: https://www.kff.org/medicare/medicare-advantage-2026-spotlight-a-first-look-at-plan-premiums-and-benefits/</w:t>
      </w:r>
    </w:p>
    <w:p>
      <w:pPr>
        <w:numPr>
          <w:ilvl w:val="0"/>
          <w:numId w:val="1022"/>
        </w:numPr>
        <w:pStyle w:val="Compact"/>
      </w:pPr>
      <w:r>
        <w:t xml:space="preserve">KFF enrollment update Feb 2026: https://www.kff.org/medicare/medicare-advantage-enrollment-grew-by-about-1-million-people-mainly-due-to-special-needs-plans/ ; June 2026: https://kff.org/medicare/issue-brief/medicare-advantage-enrollment-update-and-key-trends</w:t>
      </w:r>
    </w:p>
    <w:p>
      <w:pPr>
        <w:numPr>
          <w:ilvl w:val="0"/>
          <w:numId w:val="1022"/>
        </w:numPr>
        <w:pStyle w:val="Compact"/>
      </w:pPr>
      <w:r>
        <w:t xml:space="preserve">KFF on Part D changes 2024 and 2025: https://www.kff.org/medicare/issue-brief/changes-to-medicare-part-d-in-2024-and-2025-under-the-inflation-reduction-act-and-how-enrollees-will-benefit/</w:t>
      </w:r>
    </w:p>
    <w:p>
      <w:pPr>
        <w:numPr>
          <w:ilvl w:val="0"/>
          <w:numId w:val="1022"/>
        </w:numPr>
        <w:pStyle w:val="Compact"/>
      </w:pPr>
      <w:r>
        <w:t xml:space="preserve">Fierce Healthcare: 2027 MA landscape https://www.fiercehealthcare.com/payers/focus-hmos-c-snps-look-medicare-advantage-landscape-2027 ; 2026 lineup https://www.fiercehealthcare.com/payers/look-insurers-medicare-advantage-plans-2026 ; UHC Q2 2025 outlook cut https://www.fiercehealthcare.com/payers/unitedhealth-cuts-2025-outlook-elevated-medical-costs-continue-sting</w:t>
      </w:r>
    </w:p>
    <w:p>
      <w:pPr>
        <w:numPr>
          <w:ilvl w:val="0"/>
          <w:numId w:val="1022"/>
        </w:numPr>
        <w:pStyle w:val="Compact"/>
      </w:pPr>
      <w:r>
        <w:t xml:space="preserve">Becker’s: 2027 landscape https://www.beckerspayer.com/payer/medicare-advantage/medicare-advantage-looks-stable-for-2027-underneath-its-shifting/ ; 2025 enrollment changes https://www.beckerspayer.com/payer/which-medicare-advantage-insurers-gained-lost-members-for-2025.html ; 2026 enrollment changes https://www.beckerspayer.com/?p=22373 ; UHC 2026 membership guidance https://www.beckerspayer.com/financial/unitedhealthcare-projects-up-to-2-8-million-membership-decline-in-2026/ ; UHC CFO on MA https://www.beckerspayer.com/payer/medicare-advantage/unitedhealth-cfo-says-tough-decisions-in-medicare-advantage-are-paying-off/ ; 2024 county expansion https://www.beckerspayer.com/payer/major-payers-to-offer-medicare-advantage-plans-in-more-counties-in-2024/ ; 2024 plan cuts https://www.beckerspayer.com/payer/unitedhealthcare-cuts-some-medicare-advantage-plans-for-2024.html ; 2025 plan launches https://www.beckerspayer.com/payer/aetna-launches-2025-medicare-plans-7-notes-2.html</w:t>
      </w:r>
    </w:p>
    <w:p>
      <w:pPr>
        <w:numPr>
          <w:ilvl w:val="0"/>
          <w:numId w:val="1022"/>
        </w:numPr>
        <w:pStyle w:val="Compact"/>
      </w:pPr>
      <w:r>
        <w:t xml:space="preserve">Beinsure (Oct 2, 2026) on 2027 network narrowing: https://beinsure.com/news/us-insurers-narrow-medicare-advantage-provider-access/</w:t>
      </w:r>
    </w:p>
    <w:p>
      <w:pPr>
        <w:numPr>
          <w:ilvl w:val="0"/>
          <w:numId w:val="1022"/>
        </w:numPr>
        <w:pStyle w:val="Compact"/>
      </w:pPr>
      <w:r>
        <w:t xml:space="preserve">Oliver Wyman: 2025 plan exits https://www.oliverwyman.com/our-expertise/perspectives/health/2024/oct/plan-exits-cause-shakeup-in-medicare-advantage-offerings.html ; 2026 market overhauls https://www.oliverwyman.com/our-expertise/perspectives/health/2025/oct/medicare-advantage-plans-continue-market-overhauls-in-2026.html</w:t>
      </w:r>
    </w:p>
    <w:p>
      <w:pPr>
        <w:numPr>
          <w:ilvl w:val="0"/>
          <w:numId w:val="1022"/>
        </w:numPr>
        <w:pStyle w:val="Compact"/>
      </w:pPr>
      <w:r>
        <w:t xml:space="preserve">TechTarget: 2025 footprint https://www.techtarget.com/healthcarepayers/news/366616418/Top-5-Medicare-Advantage-payers-by-footprint-in-2025 ; 2025 enrollment stats https://www.techtarget.com/healthcarepayers/news/366628088/Top-stats-on-Medicare-Advantage-enrollment-costs-in-2025</w:t>
      </w:r>
    </w:p>
    <w:p>
      <w:pPr>
        <w:numPr>
          <w:ilvl w:val="0"/>
          <w:numId w:val="1022"/>
        </w:numPr>
        <w:pStyle w:val="Compact"/>
      </w:pPr>
      <w:r>
        <w:t xml:space="preserve">Reuters via AOL: UHC 2026 county exits https://www.aol.com/articles/unitedhealth-exit-medicare-advantage-plans-145359881.html</w:t>
      </w:r>
    </w:p>
    <w:p>
      <w:pPr>
        <w:numPr>
          <w:ilvl w:val="0"/>
          <w:numId w:val="1022"/>
        </w:numPr>
        <w:pStyle w:val="Compact"/>
      </w:pPr>
      <w:r>
        <w:t xml:space="preserve">Milliman: actuarial considerations for C-SNPs https://www.milliman.com/en/insight/actuarial-considerations-maos-chronic-condition-snp</w:t>
      </w:r>
    </w:p>
    <w:p>
      <w:pPr>
        <w:numPr>
          <w:ilvl w:val="0"/>
          <w:numId w:val="1022"/>
        </w:numPr>
        <w:pStyle w:val="Compact"/>
      </w:pPr>
      <w:r>
        <w:t xml:space="preserve">Wakely: CY2027 final rate announcement summary https://www.wakely.com/wp-content/uploads/2026/04/Summary-of-CY-2027-Final-Rate-Announcement.pdf ; C-SNP surge https://www.wakely.com/wp-content/uploads/2026/02/The-Value-Shift-Inside-the-C-SNP-Surge.pdf</w:t>
      </w:r>
    </w:p>
    <w:p>
      <w:pPr>
        <w:numPr>
          <w:ilvl w:val="0"/>
          <w:numId w:val="1022"/>
        </w:numPr>
        <w:pStyle w:val="Compact"/>
      </w:pPr>
      <w:r>
        <w:t xml:space="preserve">McDermott: V28 in the 2024 rate announcement https://www.mcdermottlaw.com/insights/cms-finalizes-risk-adjustment-model-in-2024-rate-announcement-for-medicare-advantage-and-part-d/</w:t>
      </w:r>
    </w:p>
    <w:p>
      <w:pPr>
        <w:numPr>
          <w:ilvl w:val="0"/>
          <w:numId w:val="1022"/>
        </w:numPr>
        <w:pStyle w:val="Compact"/>
      </w:pPr>
      <w:r>
        <w:t xml:space="preserve">DLA Piper: SNPs under scrutiny https://www.dlapiper.com/en/insights/publications/2026/01/medicare-advantage-special-needs-plans-come-under-increased-scrutiny</w:t>
      </w:r>
    </w:p>
    <w:p>
      <w:pPr>
        <w:numPr>
          <w:ilvl w:val="0"/>
          <w:numId w:val="1022"/>
        </w:numPr>
        <w:pStyle w:val="Compact"/>
      </w:pPr>
      <w:r>
        <w:t xml:space="preserve">Thomson Reuters: 2025 Part D parameters https://tax.thomsonreuters.com/news/2025-medicare-part-d-benefit-parameters-reflect-changes-to-part-d-benefit-structure/</w:t>
      </w:r>
    </w:p>
    <w:p>
      <w:pPr>
        <w:numPr>
          <w:ilvl w:val="0"/>
          <w:numId w:val="1022"/>
        </w:numPr>
        <w:pStyle w:val="Compact"/>
      </w:pPr>
      <w:r>
        <w:t xml:space="preserve">ATI Advisory: C-SNP enrollment 2018 to 2025 https://atiadvisory.com/resources/wp-content/uploads/2025/09/ATI_CSNP-Enrollment-2018-2025.pdf</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UHC Medicare Advantage Plans &amp; Benefits Reference 2024–2027</dc:title>
  <dc:creator>Prepared for the Databricks feature-engineering agent</dc:creator>
  <cp:keywords/>
  <dcterms:created xsi:type="dcterms:W3CDTF">2026-10-09T07:42:31Z</dcterms:created>
  <dcterms:modified xsi:type="dcterms:W3CDTF">2026-10-09T07:42:31Z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 of 2026-10-09</vt:lpwstr>
  </property>
  <property fmtid="{D5CDD505-2E9C-101B-9397-08002B2CF9AE}" pid="3" name="subtitle">
    <vt:lpwstr>Domain reference for plan- and benefit-based feature engineering in the member risk model</vt:lpwstr>
  </property>
</Properties>
</file>