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8856"/>
      </w:tblGrid>
      <w:tr w:rsidR="00D31E39" w14:paraId="7DC2558B" w14:textId="77777777" w:rsidTr="00D31E39">
        <w:tc>
          <w:tcPr>
            <w:tcW w:w="8856" w:type="dxa"/>
            <w:shd w:val="clear" w:color="auto" w:fill="C6D9F1" w:themeFill="text2" w:themeFillTint="33"/>
          </w:tcPr>
          <w:p w14:paraId="4A356722" w14:textId="77777777" w:rsidR="00D31E39" w:rsidRDefault="00D31E39">
            <w:r>
              <w:t>Source 1</w:t>
            </w:r>
          </w:p>
        </w:tc>
      </w:tr>
      <w:tr w:rsidR="00D31E39" w14:paraId="1EBDB480" w14:textId="77777777" w:rsidTr="00D31E39">
        <w:tc>
          <w:tcPr>
            <w:tcW w:w="8856" w:type="dxa"/>
            <w:shd w:val="clear" w:color="auto" w:fill="C6D9F1" w:themeFill="text2" w:themeFillTint="33"/>
          </w:tcPr>
          <w:p w14:paraId="2358BFAA" w14:textId="77777777" w:rsidR="00D31E39" w:rsidRDefault="00D31E39">
            <w:r>
              <w:t>Reference information</w:t>
            </w:r>
          </w:p>
        </w:tc>
      </w:tr>
      <w:tr w:rsidR="00D31E39" w14:paraId="068FE341" w14:textId="77777777" w:rsidTr="00D31E39">
        <w:tc>
          <w:tcPr>
            <w:tcW w:w="8856" w:type="dxa"/>
          </w:tcPr>
          <w:p w14:paraId="6EC260DF" w14:textId="77777777" w:rsidR="00D31E39" w:rsidRDefault="00C54C71">
            <w:r>
              <w:t>Jane B. Reece</w:t>
            </w:r>
          </w:p>
          <w:p w14:paraId="320B4B11" w14:textId="77777777" w:rsidR="00C54C71" w:rsidRDefault="00C54C71">
            <w:r>
              <w:t xml:space="preserve">Lisa A. </w:t>
            </w:r>
            <w:proofErr w:type="spellStart"/>
            <w:r>
              <w:t>Urry</w:t>
            </w:r>
            <w:proofErr w:type="spellEnd"/>
          </w:p>
          <w:p w14:paraId="764B8EFC" w14:textId="77777777" w:rsidR="00C54C71" w:rsidRDefault="00C54C71">
            <w:r>
              <w:t>Michael L. Cain</w:t>
            </w:r>
          </w:p>
          <w:p w14:paraId="4BB94225" w14:textId="77777777" w:rsidR="00C54C71" w:rsidRDefault="00C54C71">
            <w:r>
              <w:t>Steven A. Wasserman</w:t>
            </w:r>
          </w:p>
          <w:p w14:paraId="1D2B7529" w14:textId="77777777" w:rsidR="00C54C71" w:rsidRDefault="00C54C71">
            <w:r>
              <w:t xml:space="preserve">Peter V. </w:t>
            </w:r>
            <w:proofErr w:type="spellStart"/>
            <w:r>
              <w:t>Minorsky</w:t>
            </w:r>
            <w:proofErr w:type="spellEnd"/>
          </w:p>
          <w:p w14:paraId="273A7911" w14:textId="77777777" w:rsidR="00C54C71" w:rsidRDefault="00C54C71">
            <w:r>
              <w:t>Robert B. Jackson</w:t>
            </w:r>
          </w:p>
          <w:p w14:paraId="09434C7B" w14:textId="77777777" w:rsidR="00C54C71" w:rsidRDefault="00C54C71">
            <w:r>
              <w:t>Campbell Biology</w:t>
            </w:r>
          </w:p>
          <w:p w14:paraId="75D9D336" w14:textId="77777777" w:rsidR="00C54C71" w:rsidRDefault="00C54C71">
            <w:r>
              <w:t>9</w:t>
            </w:r>
            <w:r w:rsidRPr="00C54C71">
              <w:rPr>
                <w:vertAlign w:val="superscript"/>
              </w:rPr>
              <w:t>th</w:t>
            </w:r>
            <w:r>
              <w:t xml:space="preserve"> Edition</w:t>
            </w:r>
          </w:p>
          <w:p w14:paraId="4088B83A" w14:textId="77777777" w:rsidR="00C54C71" w:rsidRDefault="00C54C71">
            <w:r>
              <w:t>2011</w:t>
            </w:r>
          </w:p>
          <w:p w14:paraId="58105B6A" w14:textId="77777777" w:rsidR="00C54C71" w:rsidRDefault="00C54C71">
            <w:r>
              <w:t>San Francisco, CA</w:t>
            </w:r>
          </w:p>
        </w:tc>
      </w:tr>
      <w:tr w:rsidR="00D31E39" w14:paraId="0400DDE1" w14:textId="77777777" w:rsidTr="00D31E39">
        <w:tc>
          <w:tcPr>
            <w:tcW w:w="8856" w:type="dxa"/>
            <w:shd w:val="clear" w:color="auto" w:fill="C6D9F1" w:themeFill="text2" w:themeFillTint="33"/>
          </w:tcPr>
          <w:p w14:paraId="590DDDBF" w14:textId="77777777" w:rsidR="00D31E39" w:rsidRDefault="00D31E39">
            <w:r>
              <w:t>Notes</w:t>
            </w:r>
          </w:p>
        </w:tc>
      </w:tr>
      <w:tr w:rsidR="00D31E39" w14:paraId="4077164D" w14:textId="77777777" w:rsidTr="00D31E39">
        <w:tc>
          <w:tcPr>
            <w:tcW w:w="8856" w:type="dxa"/>
          </w:tcPr>
          <w:p w14:paraId="304CAD06" w14:textId="77777777" w:rsidR="00C54C71" w:rsidRDefault="00C54C71" w:rsidP="00C54C71">
            <w:pPr>
              <w:pStyle w:val="ListParagraph"/>
              <w:numPr>
                <w:ilvl w:val="0"/>
                <w:numId w:val="1"/>
              </w:numPr>
            </w:pPr>
            <w:r>
              <w:t>Page 1141</w:t>
            </w:r>
          </w:p>
          <w:p w14:paraId="08968012" w14:textId="77777777" w:rsidR="00D31E39" w:rsidRDefault="00C54C71" w:rsidP="00C54C71">
            <w:pPr>
              <w:pStyle w:val="ListParagraph"/>
              <w:numPr>
                <w:ilvl w:val="0"/>
                <w:numId w:val="1"/>
              </w:numPr>
            </w:pPr>
            <w:r>
              <w:t>Visual receptors in diverse animals depend on light absorbing pigments</w:t>
            </w:r>
          </w:p>
          <w:p w14:paraId="10BBF18F" w14:textId="77777777" w:rsidR="00C54C71" w:rsidRDefault="00C54C71" w:rsidP="00C54C71">
            <w:pPr>
              <w:pStyle w:val="ListParagraph"/>
              <w:numPr>
                <w:ilvl w:val="0"/>
                <w:numId w:val="1"/>
              </w:numPr>
            </w:pPr>
            <w:r>
              <w:t>Ability to detect light has a role in interaction of nearly all animals with their environment.</w:t>
            </w:r>
          </w:p>
          <w:p w14:paraId="152EA536" w14:textId="77777777" w:rsidR="00C54C71" w:rsidRDefault="00C54C71" w:rsidP="00C54C71">
            <w:pPr>
              <w:pStyle w:val="ListParagraph"/>
              <w:numPr>
                <w:ilvl w:val="0"/>
                <w:numId w:val="1"/>
              </w:numPr>
            </w:pPr>
            <w:r>
              <w:t>Although animals use a diverse set of organs for vision, the underlying mechanisms for capturing light is the same…</w:t>
            </w:r>
          </w:p>
          <w:p w14:paraId="3984CD2D" w14:textId="77777777" w:rsidR="00C54C71" w:rsidRDefault="00C54C71" w:rsidP="00C54C71">
            <w:pPr>
              <w:pStyle w:val="ListParagraph"/>
              <w:numPr>
                <w:ilvl w:val="0"/>
                <w:numId w:val="1"/>
              </w:numPr>
            </w:pPr>
            <w:r>
              <w:t xml:space="preserve">Light detectors in the animal kingdom range from simple clusters of cells that detect only the direction and intensity of light to complex organs that form images. These diverse light detectors all contain </w:t>
            </w:r>
            <w:proofErr w:type="gramStart"/>
            <w:r>
              <w:t>photoreceptors,</w:t>
            </w:r>
            <w:proofErr w:type="gramEnd"/>
            <w:r>
              <w:t xml:space="preserve"> cells that contain light absorbing pigment molecules.</w:t>
            </w:r>
          </w:p>
          <w:p w14:paraId="36C018E8" w14:textId="77777777" w:rsidR="00C54C71" w:rsidRDefault="00C54C71" w:rsidP="00C54C71">
            <w:pPr>
              <w:pStyle w:val="ListParagraph"/>
              <w:numPr>
                <w:ilvl w:val="0"/>
                <w:numId w:val="1"/>
              </w:numPr>
            </w:pPr>
            <w:r>
              <w:t>Page 1142</w:t>
            </w:r>
          </w:p>
          <w:p w14:paraId="25220129" w14:textId="77777777" w:rsidR="00614B4A" w:rsidRDefault="00614B4A" w:rsidP="00C54C71">
            <w:pPr>
              <w:pStyle w:val="ListParagraph"/>
              <w:numPr>
                <w:ilvl w:val="0"/>
                <w:numId w:val="1"/>
              </w:numPr>
            </w:pPr>
            <w:r>
              <w:t>Among invertebrates, single-lens eyes are found. Single lens eye works somewhat like a camera. They have a small opening, the pupil, through which light enters. Like a camera’s adjustable aperture, the iris contracts or expands, changing the diameter of the pupil to let in more or less light. Behind the pupil, a single lens focuses light on a layer of photoreceptors. Similar to a camera’s focusing action, muscles in an invertebrate’s single lens eye move the lens forward or backward, focusing on objects at different distances.</w:t>
            </w:r>
          </w:p>
          <w:p w14:paraId="028842CB" w14:textId="184B8B0C" w:rsidR="0015519C" w:rsidRDefault="0015519C" w:rsidP="00C54C71">
            <w:pPr>
              <w:pStyle w:val="ListParagraph"/>
              <w:numPr>
                <w:ilvl w:val="0"/>
                <w:numId w:val="1"/>
              </w:numPr>
            </w:pPr>
            <w:bookmarkStart w:id="0" w:name="_GoBack"/>
            <w:bookmarkEnd w:id="0"/>
          </w:p>
        </w:tc>
      </w:tr>
    </w:tbl>
    <w:p w14:paraId="339F566D" w14:textId="77777777" w:rsidR="002F0932" w:rsidRDefault="002F0932"/>
    <w:tbl>
      <w:tblPr>
        <w:tblStyle w:val="TableGrid"/>
        <w:tblW w:w="0" w:type="auto"/>
        <w:tblLook w:val="04A0" w:firstRow="1" w:lastRow="0" w:firstColumn="1" w:lastColumn="0" w:noHBand="0" w:noVBand="1"/>
      </w:tblPr>
      <w:tblGrid>
        <w:gridCol w:w="8856"/>
      </w:tblGrid>
      <w:tr w:rsidR="00D31E39" w14:paraId="1D02821B" w14:textId="77777777" w:rsidTr="00C54C71">
        <w:tc>
          <w:tcPr>
            <w:tcW w:w="8856" w:type="dxa"/>
            <w:shd w:val="clear" w:color="auto" w:fill="C6D9F1" w:themeFill="text2" w:themeFillTint="33"/>
          </w:tcPr>
          <w:p w14:paraId="02C364E6" w14:textId="77777777" w:rsidR="00D31E39" w:rsidRDefault="00D31E39" w:rsidP="00C54C71">
            <w:r>
              <w:t>Source 2</w:t>
            </w:r>
          </w:p>
        </w:tc>
      </w:tr>
      <w:tr w:rsidR="00D31E39" w14:paraId="0CD23EAE" w14:textId="77777777" w:rsidTr="00C54C71">
        <w:tc>
          <w:tcPr>
            <w:tcW w:w="8856" w:type="dxa"/>
            <w:shd w:val="clear" w:color="auto" w:fill="C6D9F1" w:themeFill="text2" w:themeFillTint="33"/>
          </w:tcPr>
          <w:p w14:paraId="04460248" w14:textId="77777777" w:rsidR="00D31E39" w:rsidRDefault="00D31E39" w:rsidP="00C54C71">
            <w:r>
              <w:t>Reference information</w:t>
            </w:r>
          </w:p>
        </w:tc>
      </w:tr>
      <w:tr w:rsidR="00D31E39" w14:paraId="43ADB6CB" w14:textId="77777777" w:rsidTr="00C54C71">
        <w:tc>
          <w:tcPr>
            <w:tcW w:w="8856" w:type="dxa"/>
          </w:tcPr>
          <w:p w14:paraId="78BB475D" w14:textId="77777777" w:rsidR="00D31E39" w:rsidRDefault="00D31E39" w:rsidP="00C54C71"/>
        </w:tc>
      </w:tr>
      <w:tr w:rsidR="00D31E39" w14:paraId="10A7DC84" w14:textId="77777777" w:rsidTr="00C54C71">
        <w:tc>
          <w:tcPr>
            <w:tcW w:w="8856" w:type="dxa"/>
            <w:shd w:val="clear" w:color="auto" w:fill="C6D9F1" w:themeFill="text2" w:themeFillTint="33"/>
          </w:tcPr>
          <w:p w14:paraId="7A4A54E5" w14:textId="77777777" w:rsidR="00D31E39" w:rsidRDefault="00D31E39" w:rsidP="00C54C71">
            <w:r>
              <w:t>Notes</w:t>
            </w:r>
          </w:p>
        </w:tc>
      </w:tr>
      <w:tr w:rsidR="00D31E39" w14:paraId="6DA8B587" w14:textId="77777777" w:rsidTr="00C54C71">
        <w:tc>
          <w:tcPr>
            <w:tcW w:w="8856" w:type="dxa"/>
          </w:tcPr>
          <w:p w14:paraId="12C3693B" w14:textId="77777777" w:rsidR="00D31E39" w:rsidRDefault="00D31E39" w:rsidP="00C54C71"/>
        </w:tc>
      </w:tr>
    </w:tbl>
    <w:p w14:paraId="7C48E59D" w14:textId="77777777" w:rsidR="00D31E39" w:rsidRDefault="00D31E39"/>
    <w:tbl>
      <w:tblPr>
        <w:tblStyle w:val="TableGrid"/>
        <w:tblW w:w="0" w:type="auto"/>
        <w:tblLook w:val="04A0" w:firstRow="1" w:lastRow="0" w:firstColumn="1" w:lastColumn="0" w:noHBand="0" w:noVBand="1"/>
      </w:tblPr>
      <w:tblGrid>
        <w:gridCol w:w="8856"/>
      </w:tblGrid>
      <w:tr w:rsidR="00D31E39" w14:paraId="2450124E" w14:textId="77777777" w:rsidTr="00C54C71">
        <w:tc>
          <w:tcPr>
            <w:tcW w:w="8856" w:type="dxa"/>
            <w:shd w:val="clear" w:color="auto" w:fill="C6D9F1" w:themeFill="text2" w:themeFillTint="33"/>
          </w:tcPr>
          <w:p w14:paraId="139DB5B1" w14:textId="77777777" w:rsidR="00D31E39" w:rsidRDefault="00D31E39" w:rsidP="00C54C71">
            <w:r>
              <w:t>Source 3</w:t>
            </w:r>
          </w:p>
        </w:tc>
      </w:tr>
      <w:tr w:rsidR="00D31E39" w14:paraId="249C3FCA" w14:textId="77777777" w:rsidTr="00C54C71">
        <w:tc>
          <w:tcPr>
            <w:tcW w:w="8856" w:type="dxa"/>
            <w:shd w:val="clear" w:color="auto" w:fill="C6D9F1" w:themeFill="text2" w:themeFillTint="33"/>
          </w:tcPr>
          <w:p w14:paraId="2EDB0D5C" w14:textId="77777777" w:rsidR="00D31E39" w:rsidRDefault="00D31E39" w:rsidP="00C54C71">
            <w:r>
              <w:t>Reference information</w:t>
            </w:r>
          </w:p>
        </w:tc>
      </w:tr>
      <w:tr w:rsidR="00D31E39" w14:paraId="792E4606" w14:textId="77777777" w:rsidTr="00C54C71">
        <w:tc>
          <w:tcPr>
            <w:tcW w:w="8856" w:type="dxa"/>
          </w:tcPr>
          <w:p w14:paraId="1947F928" w14:textId="77777777" w:rsidR="00D31E39" w:rsidRDefault="00D31E39" w:rsidP="00C54C71"/>
        </w:tc>
      </w:tr>
      <w:tr w:rsidR="00D31E39" w14:paraId="083AE62F" w14:textId="77777777" w:rsidTr="00C54C71">
        <w:tc>
          <w:tcPr>
            <w:tcW w:w="8856" w:type="dxa"/>
            <w:shd w:val="clear" w:color="auto" w:fill="C6D9F1" w:themeFill="text2" w:themeFillTint="33"/>
          </w:tcPr>
          <w:p w14:paraId="7F4153DB" w14:textId="77777777" w:rsidR="00D31E39" w:rsidRDefault="00D31E39" w:rsidP="00C54C71">
            <w:r>
              <w:t>Notes</w:t>
            </w:r>
          </w:p>
        </w:tc>
      </w:tr>
      <w:tr w:rsidR="00D31E39" w14:paraId="6A131FF7" w14:textId="77777777" w:rsidTr="00C54C71">
        <w:tc>
          <w:tcPr>
            <w:tcW w:w="8856" w:type="dxa"/>
          </w:tcPr>
          <w:p w14:paraId="569D42A9" w14:textId="77777777" w:rsidR="00D31E39" w:rsidRDefault="00D31E39" w:rsidP="00C54C71"/>
        </w:tc>
      </w:tr>
    </w:tbl>
    <w:p w14:paraId="7ABE2703" w14:textId="77777777" w:rsidR="00D31E39" w:rsidRDefault="00D31E39"/>
    <w:tbl>
      <w:tblPr>
        <w:tblStyle w:val="TableGrid"/>
        <w:tblW w:w="0" w:type="auto"/>
        <w:tblLook w:val="04A0" w:firstRow="1" w:lastRow="0" w:firstColumn="1" w:lastColumn="0" w:noHBand="0" w:noVBand="1"/>
      </w:tblPr>
      <w:tblGrid>
        <w:gridCol w:w="8856"/>
      </w:tblGrid>
      <w:tr w:rsidR="00D31E39" w14:paraId="45BD7C1B" w14:textId="77777777" w:rsidTr="00C54C71">
        <w:tc>
          <w:tcPr>
            <w:tcW w:w="8856" w:type="dxa"/>
            <w:shd w:val="clear" w:color="auto" w:fill="C6D9F1" w:themeFill="text2" w:themeFillTint="33"/>
          </w:tcPr>
          <w:p w14:paraId="6BEB8796" w14:textId="77777777" w:rsidR="00D31E39" w:rsidRDefault="00D31E39" w:rsidP="00C54C71">
            <w:r>
              <w:t>Source 4</w:t>
            </w:r>
          </w:p>
        </w:tc>
      </w:tr>
      <w:tr w:rsidR="00D31E39" w14:paraId="19F2DD80" w14:textId="77777777" w:rsidTr="00C54C71">
        <w:tc>
          <w:tcPr>
            <w:tcW w:w="8856" w:type="dxa"/>
            <w:shd w:val="clear" w:color="auto" w:fill="C6D9F1" w:themeFill="text2" w:themeFillTint="33"/>
          </w:tcPr>
          <w:p w14:paraId="114EDFF8" w14:textId="77777777" w:rsidR="00D31E39" w:rsidRDefault="00D31E39" w:rsidP="00C54C71">
            <w:r>
              <w:t>Reference information</w:t>
            </w:r>
          </w:p>
        </w:tc>
      </w:tr>
      <w:tr w:rsidR="00D31E39" w14:paraId="42F9B3FD" w14:textId="77777777" w:rsidTr="00C54C71">
        <w:tc>
          <w:tcPr>
            <w:tcW w:w="8856" w:type="dxa"/>
          </w:tcPr>
          <w:p w14:paraId="15283804" w14:textId="77777777" w:rsidR="00D31E39" w:rsidRDefault="00D31E39" w:rsidP="00C54C71"/>
        </w:tc>
      </w:tr>
      <w:tr w:rsidR="00D31E39" w14:paraId="0375E5C5" w14:textId="77777777" w:rsidTr="00C54C71">
        <w:tc>
          <w:tcPr>
            <w:tcW w:w="8856" w:type="dxa"/>
            <w:shd w:val="clear" w:color="auto" w:fill="C6D9F1" w:themeFill="text2" w:themeFillTint="33"/>
          </w:tcPr>
          <w:p w14:paraId="007AD624" w14:textId="77777777" w:rsidR="00D31E39" w:rsidRDefault="00D31E39" w:rsidP="00C54C71">
            <w:r>
              <w:t>Notes</w:t>
            </w:r>
          </w:p>
        </w:tc>
      </w:tr>
      <w:tr w:rsidR="00D31E39" w14:paraId="5888DBAB" w14:textId="77777777" w:rsidTr="00C54C71">
        <w:tc>
          <w:tcPr>
            <w:tcW w:w="8856" w:type="dxa"/>
          </w:tcPr>
          <w:p w14:paraId="5CFC5D01" w14:textId="77777777" w:rsidR="00D31E39" w:rsidRDefault="00D31E39" w:rsidP="00C54C71"/>
        </w:tc>
      </w:tr>
    </w:tbl>
    <w:p w14:paraId="156003B8" w14:textId="77777777" w:rsidR="00D31E39" w:rsidRDefault="00D31E39"/>
    <w:sectPr w:rsidR="00D31E39" w:rsidSect="002F093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D581C"/>
    <w:multiLevelType w:val="hybridMultilevel"/>
    <w:tmpl w:val="D90E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E39"/>
    <w:rsid w:val="0015519C"/>
    <w:rsid w:val="002F0932"/>
    <w:rsid w:val="00614B4A"/>
    <w:rsid w:val="00C54C71"/>
    <w:rsid w:val="00D31E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223F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1E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54C7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1E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54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215</Words>
  <Characters>1227</Characters>
  <Application>Microsoft Macintosh Word</Application>
  <DocSecurity>0</DocSecurity>
  <Lines>10</Lines>
  <Paragraphs>2</Paragraphs>
  <ScaleCrop>false</ScaleCrop>
  <Company/>
  <LinksUpToDate>false</LinksUpToDate>
  <CharactersWithSpaces>1440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Carlos Villarreal</dc:creator>
  <cp:keywords/>
  <dc:description/>
  <cp:lastModifiedBy>Jose Carlos Villarreal</cp:lastModifiedBy>
  <cp:revision>3</cp:revision>
  <dcterms:created xsi:type="dcterms:W3CDTF">2017-06-22T15:02:00Z</dcterms:created>
  <dcterms:modified xsi:type="dcterms:W3CDTF">2017-06-23T08:53:00Z</dcterms:modified>
</cp:coreProperties>
</file>