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before="2551" w:after="252"/>
        <w:jc w:val="center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永州爱眼城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检查报告解读标准化方案</w:t>
      </w:r>
    </w:p>
    <w:p>
      <w:pPr>
        <w:spacing w:line="312" w:lineRule="auto" w:after="220"/>
        <w:jc w:val="center"/>
      </w:pPr>
      <w:r>
        <w:rPr>
          <w:rFonts w:ascii="微软雅黑" w:hAnsi="微软雅黑" w:eastAsia="微软雅黑" w:cs="微软雅黑" w:hint="eastAsia"/>
          <w:b/>
          <w:color w:val="1565C0"/>
          <w:sz w:val="44"/>
          <w:lang w:eastAsia="zh-CN"/>
        </w:rPr>
        <w:t>模块</w:t>
      </w:r>
      <w:r>
        <w:rPr>
          <w:rFonts w:ascii="微软雅黑" w:hAnsi="微软雅黑"/>
          <w:b/>
          <w:color w:val="1565C0"/>
          <w:sz w:val="44"/>
        </w:rPr>
        <w:t xml:space="preserve">03 · </w:t>
      </w:r>
      <w:r>
        <w:rPr>
          <w:rFonts w:ascii="微软雅黑" w:hAnsi="微软雅黑" w:eastAsia="微软雅黑" w:cs="微软雅黑" w:hint="eastAsia"/>
          <w:b/>
          <w:color w:val="1565C0"/>
          <w:sz w:val="44"/>
          <w:lang w:eastAsia="zh-CN"/>
        </w:rPr>
        <w:t>指标参考区间与异常值对照</w:t>
      </w:r>
    </w:p>
    <w:p>
      <w:pPr>
        <w:spacing w:line="360" w:lineRule="auto" w:after="330"/>
        <w:jc w:val="center"/>
      </w:pPr>
      <w:r>
        <w:rPr>
          <w:rFonts w:ascii="微软雅黑" w:hAnsi="微软雅黑" w:eastAsia="微软雅黑" w:cs="微软雅黑" w:hint="eastAsia"/>
          <w:color w:val="616161"/>
          <w:sz w:val="22"/>
          <w:lang w:eastAsia="zh-CN"/>
        </w:rPr>
        <w:t>上篇</w:t>
      </w:r>
      <w:r>
        <w:rPr>
          <w:rFonts w:ascii="微软雅黑" w:hAnsi="微软雅黑"/>
          <w:color w:val="616161"/>
          <w:sz w:val="22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22"/>
          <w:lang w:eastAsia="zh-CN"/>
        </w:rPr>
        <w:t>参考区间与异常判定（四档定级）｜下篇</w:t>
      </w:r>
      <w:r>
        <w:rPr>
          <w:rFonts w:ascii="微软雅黑" w:hAnsi="微软雅黑"/>
          <w:color w:val="616161"/>
          <w:sz w:val="22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22"/>
          <w:lang w:eastAsia="zh-CN"/>
        </w:rPr>
        <w:t>异常值对照（</w:t>
      </w:r>
      <w:r>
        <w:rPr>
          <w:rFonts w:ascii="微软雅黑" w:hAnsi="微软雅黑"/>
          <w:color w:val="616161"/>
          <w:sz w:val="22"/>
        </w:rPr>
        <w:t xml:space="preserve">16 </w:t>
      </w:r>
      <w:r>
        <w:rPr>
          <w:rFonts w:ascii="微软雅黑" w:hAnsi="微软雅黑" w:eastAsia="微软雅黑" w:cs="微软雅黑" w:hint="eastAsia"/>
          <w:color w:val="616161"/>
          <w:sz w:val="22"/>
          <w:lang w:eastAsia="zh-CN"/>
        </w:rPr>
        <w:t>条：原因</w:t>
      </w:r>
      <w:r>
        <w:rPr>
          <w:rFonts w:ascii="微软雅黑" w:hAnsi="微软雅黑"/>
          <w:color w:val="616161"/>
          <w:sz w:val="22"/>
        </w:rPr>
        <w:t xml:space="preserve"> → </w:t>
      </w:r>
      <w:r>
        <w:rPr>
          <w:rFonts w:ascii="微软雅黑" w:hAnsi="微软雅黑" w:eastAsia="微软雅黑" w:cs="微软雅黑" w:hint="eastAsia"/>
          <w:color w:val="616161"/>
          <w:sz w:val="22"/>
          <w:lang w:eastAsia="zh-CN"/>
        </w:rPr>
        <w:t>影响</w:t>
      </w:r>
      <w:r>
        <w:rPr>
          <w:rFonts w:ascii="微软雅黑" w:hAnsi="微软雅黑"/>
          <w:color w:val="616161"/>
          <w:sz w:val="22"/>
        </w:rPr>
        <w:t xml:space="preserve"> → </w:t>
      </w:r>
      <w:r>
        <w:rPr>
          <w:rFonts w:ascii="微软雅黑" w:hAnsi="微软雅黑" w:eastAsia="微软雅黑" w:cs="微软雅黑" w:hint="eastAsia"/>
          <w:color w:val="616161"/>
          <w:sz w:val="22"/>
          <w:lang w:eastAsia="zh-CN"/>
        </w:rPr>
        <w:t>对策</w:t>
      </w:r>
      <w:r>
        <w:rPr>
          <w:rFonts w:ascii="微软雅黑" w:hAnsi="微软雅黑"/>
          <w:color w:val="616161"/>
          <w:sz w:val="22"/>
        </w:rPr>
        <w:t xml:space="preserve"> → </w:t>
      </w:r>
      <w:r>
        <w:rPr>
          <w:rFonts w:ascii="微软雅黑" w:hAnsi="微软雅黑" w:eastAsia="微软雅黑" w:cs="微软雅黑" w:hint="eastAsia"/>
          <w:color w:val="616161"/>
          <w:sz w:val="22"/>
          <w:lang w:eastAsia="zh-CN"/>
        </w:rPr>
        <w:t>话术）</w:t>
      </w:r>
    </w:p>
    <w:p>
      <w:pPr>
        <w:spacing w:line="384" w:lineRule="auto"/>
        <w:jc w:val="center"/>
      </w:pP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永州爱眼城连锁门店</w:t>
      </w:r>
      <w:r>
        <w:rPr>
          <w:rFonts w:ascii="微软雅黑" w:hAnsi="微软雅黑"/>
          <w:color w:val="616161"/>
          <w:sz w:val="16"/>
        </w:rPr>
        <w:t xml:space="preserve"> 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｜</w:t>
      </w:r>
      <w:r>
        <w:rPr>
          <w:rFonts w:ascii="微软雅黑" w:hAnsi="微软雅黑"/>
          <w:color w:val="616161"/>
          <w:sz w:val="16"/>
        </w:rPr>
        <w:t xml:space="preserve"> V1.0 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｜</w:t>
      </w:r>
      <w:r>
        <w:rPr>
          <w:rFonts w:ascii="微软雅黑" w:hAnsi="微软雅黑"/>
          <w:color w:val="616161"/>
          <w:sz w:val="16"/>
        </w:rPr>
        <w:t xml:space="preserve"> 2026-09-21 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｜</w:t>
      </w:r>
      <w:r>
        <w:rPr>
          <w:rFonts w:ascii="微软雅黑" w:hAnsi="微软雅黑"/>
          <w:color w:val="616161"/>
          <w:sz w:val="16"/>
        </w:rPr>
        <w:t xml:space="preserve"> 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编制：闫胜君整理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10"/>
        <w:jc w:val="left"/>
      </w:pPr>
      <w:r/>
      <w:r>
        <w:rPr>
          <w:rFonts w:ascii="微软雅黑" w:hAnsi="微软雅黑" w:eastAsia="微软雅黑" w:hint="eastAsia"/>
          <w:b/>
          <w:color w:val="1565C0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查表规则：四档判定怎么标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一、视力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二、屈光度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三、眼轴长度与角膜曲率（眼生物测量）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四、双眼视功能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五、眼前节、晶状体与干眼相关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六、查表常见错误与纠正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七、异常值对照表怎么用（下篇）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八、屈光与视力类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九、眼轴与角膜类</w:t>
        </w:r>
      </w:hyperlink>
    </w:p>
    <w:p>
      <w:hyperlink w:anchor="_Toc_section_11">
        <w:r>
          <w:rPr>
            <w:rFonts w:hint="eastAsia"/>
            <w:color w:val="000000"/>
            <w:u w:val="none"/>
          </w:rPr>
          <w:t xml:space="preserve">十、双眼视功能与干眼类</w:t>
        </w:r>
      </w:hyperlink>
    </w:p>
    <w:p>
      <w:hyperlink w:anchor="_Toc_section_12">
        <w:r>
          <w:rPr>
            <w:rFonts w:hint="eastAsia"/>
            <w:color w:val="000000"/>
            <w:u w:val="none"/>
          </w:rPr>
          <w:t xml:space="preserve">十一、晶状体、老视与特殊类</w:t>
        </w:r>
      </w:hyperlink>
    </w:p>
    <w:p>
      <w:hyperlink w:anchor="_Toc_section_13">
        <w:r>
          <w:rPr>
            <w:rFonts w:hint="eastAsia"/>
            <w:color w:val="000000"/>
            <w:u w:val="none"/>
          </w:rPr>
          <w:t xml:space="preserve">十二、异常值对照表使用纪律</w:t>
        </w:r>
      </w:hyperlink>
    </w:p>
    <w:p>
      <w:hyperlink w:anchor="_Toc_section_14">
        <w:r>
          <w:rPr>
            <w:rFonts w:hint="eastAsia"/>
            <w:color w:val="000000"/>
            <w:u w:val="none"/>
          </w:rPr>
          <w:t xml:space="preserve">附录 · 口径来源与免责说明</w:t>
        </w:r>
      </w:hyperlink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top w:val="single" w:sz="4" w:space="0" w:color="E0E0E0"/>
              <w:bottom w:val="single" w:sz="4" w:space="0" w:color="E0E0E0"/>
              <w:left w:val="single" w:sz="32" w:space="0" w:color="1565C0"/>
              <w:right w:val="single" w:sz="4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  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>本模块导读</w:t>
            </w:r>
          </w:p>
        </w:tc>
      </w:tr>
      <w:tr>
        <w:tc>
          <w:tcPr>
            <w:tcW w:type="dxa" w:w="8640"/>
            <w:tcBorders>
              <w:top w:val="single" w:sz="4" w:space="0" w:color="E0E0E0"/>
              <w:bottom w:val="single" w:sz="4" w:space="0" w:color="E0E0E0"/>
              <w:left w:val="single" w:sz="32" w:space="0" w:color="1565C0"/>
              <w:right w:val="single" w:sz="4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spacing w:line="240" w:lineRule="auto" w:before="40" w:after="40"/>
              <w:jc w:val="left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本模块是门店的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字典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话术对照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两用表：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上篇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回答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这项算不算异常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，把每项指标定到正常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关注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异常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转诊提示四档；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下篇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回答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发现异常之后说什么、做什么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，把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16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类高频异常逐条拆成可能原因、潜在影响、应对对策与话术要点。建议打印成台卡压在验光台下，或塑封随身携带。使用前先看下面的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查表规则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。</w:t>
            </w:r>
          </w:p>
        </w:tc>
      </w:tr>
    </w:tbl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判定档位</w:t>
            </w:r>
          </w:p>
        </w:tc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参考区间表</w:t>
            </w:r>
          </w:p>
        </w:tc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异常条目</w:t>
            </w:r>
          </w:p>
        </w:tc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门店必查项</w:t>
            </w:r>
          </w:p>
        </w:tc>
      </w:tr>
      <w:tr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4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档（正常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关注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异常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转诊提示）</w:t>
            </w:r>
          </w:p>
        </w:tc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7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张（上篇：按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5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类检查逐项定级）</w:t>
            </w:r>
          </w:p>
        </w:tc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16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类（下篇：原因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→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影响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→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对策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→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话术）</w:t>
            </w:r>
          </w:p>
        </w:tc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5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项（视力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验光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眼轴曲率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双眼视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眼前节）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3EF"/>
            <w:tcBorders>
              <w:left w:val="single" w:sz="24" w:space="0" w:color="E65100"/>
            </w:tcBorders>
          </w:tcPr>
          <w:p>
            <w:r>
              <w:rPr>
                <w:b/>
              </w:rPr>
              <w:t>四条使用前必读：</w:t>
            </w:r>
          </w:p>
          <w:p>
            <w:r>
              <w:t xml:space="preserve">1. </w:t>
            </w:r>
            <w:r>
              <w:rPr>
                <w:b/>
              </w:rPr>
              <w:t>本表为健康宣教与转诊提示用的参考区间</w:t>
            </w:r>
            <w:r>
              <w:t>，不是诊断标准。参考区间会因设备型号、测量方法、人群与教材版本而有差异。</w:t>
            </w:r>
            <w:r>
              <w:rPr>
                <w:b/>
              </w:rPr>
              <w:t>与最新国家诊疗指南或接诊医疗机构意见不一致时，以后者为准。</w:t>
            </w:r>
          </w:p>
          <w:p>
            <w:r>
              <w:t xml:space="preserve">2. </w:t>
            </w:r>
            <w:r>
              <w:rPr>
                <w:b/>
              </w:rPr>
              <w:t>单次异常不等于有病。</w:t>
            </w:r>
            <w:r>
              <w:t>任何</w:t>
            </w:r>
            <w:r>
              <w:t>“</w:t>
            </w:r>
            <w:r>
              <w:t>异常</w:t>
            </w:r>
            <w:r>
              <w:t>”</w:t>
            </w:r>
            <w:r>
              <w:t>档位，标准动作是</w:t>
            </w:r>
            <w:r>
              <w:rPr>
                <w:b/>
              </w:rPr>
              <w:t>复查确认 + 必要时转诊</w:t>
            </w:r>
            <w:r>
              <w:t>，而不是直接下结论。</w:t>
            </w:r>
          </w:p>
          <w:p>
            <w:r>
              <w:t xml:space="preserve">3. </w:t>
            </w:r>
            <w:r>
              <w:rPr>
                <w:b/>
              </w:rPr>
              <w:t>看趋势比看单次数值重要。</w:t>
            </w:r>
            <w:r>
              <w:t>尤其是儿童青少年，一次眼轴</w:t>
            </w:r>
            <w:r>
              <w:t xml:space="preserve"> / </w:t>
            </w:r>
            <w:r>
              <w:t>度数值没有意义，半年、一年的变化量才有意义。</w:t>
            </w:r>
          </w:p>
          <w:p>
            <w:r>
              <w:t xml:space="preserve">4. </w:t>
            </w:r>
            <w:r>
              <w:rPr>
                <w:b/>
              </w:rPr>
              <w:t>转诊去向统一为爱眼城眼科。</w:t>
            </w:r>
            <w:r>
              <w:t>本表所有</w:t>
            </w:r>
            <w:r>
              <w:t>“</w:t>
            </w:r>
            <w:r>
              <w:t>转诊提示</w:t>
            </w:r>
            <w:r>
              <w:t>”</w:t>
            </w:r>
            <w:r>
              <w:t>档位，口头与书面指引一律指向</w:t>
            </w:r>
            <w:r>
              <w:rPr>
                <w:b/>
              </w:rPr>
              <w:t>爱眼城眼科</w:t>
            </w:r>
            <w:r>
              <w:t>（完整口径见模块</w:t>
            </w:r>
            <w:r>
              <w:t xml:space="preserve"> 08</w:t>
            </w:r>
            <w:r>
              <w:t>）；遇急性症状或爱眼城眼科闭诊时段，</w:t>
            </w:r>
            <w:r>
              <w:rPr>
                <w:b/>
              </w:rPr>
              <w:t>就近前往有眼科急诊的医院，不因去向而拖延</w:t>
            </w:r>
            <w:r>
              <w:t>。</w:t>
            </w:r>
          </w:p>
        </w:tc>
      </w:tr>
    </w:tbl>
    <w:p>
      <w:bookmarkStart w:id="14" w:name="_Toc_section_1"/>
      <w:bookmarkStart w:id="0" w:name="section-1"/>
      <w:pPr>
        <w:pStyle w:val="Heading2"/>
        <w:spacing w:line="312" w:lineRule="auto"/>
        <w:jc w:val="left"/>
        <w:pBdr>
          <w:bottom w:val="single" w:sz="8" w:space="0" w:color="E0E0E0"/>
        </w:pBdr>
      </w:pPr>
      <w:bookmarkEnd w:id="0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查表规则：四档判定怎么标</w:t>
      </w:r>
      <w:bookmarkEnd w:id="14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950"/>
        <w:gridCol w:w="2246"/>
        <w:gridCol w:w="2592"/>
        <w:gridCol w:w="2851"/>
      </w:tblGrid>
      <w:tr>
        <w:tc>
          <w:tcPr>
            <w:tcW w:type="pct" w:w="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档位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含义</w:t>
            </w:r>
          </w:p>
        </w:tc>
        <w:tc>
          <w:tcPr>
            <w:tcW w:type="pct" w:w="15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标准动作</w:t>
            </w:r>
          </w:p>
        </w:tc>
        <w:tc>
          <w:tcPr>
            <w:tcW w:type="pct" w:w="16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对顾客怎么说</w:t>
            </w:r>
          </w:p>
        </w:tc>
      </w:tr>
      <w:tr>
        <w:tc>
          <w:tcPr>
            <w:tcW w:type="pct" w:w="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正常（绿）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在参考范围内</w:t>
            </w:r>
          </w:p>
        </w:tc>
        <w:tc>
          <w:tcPr>
            <w:tcW w:type="pct" w:w="15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记录，无需处理</w:t>
            </w:r>
          </w:p>
        </w:tc>
        <w:tc>
          <w:tcPr>
            <w:tcW w:type="pct" w:w="16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这项在正常范围，没问题。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（一句带过，不要展开）</w:t>
            </w:r>
          </w:p>
        </w:tc>
      </w:tr>
      <w:tr>
        <w:tc>
          <w:tcPr>
            <w:tcW w:type="pct" w:w="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关注（橙）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接近临界值，或有轻度偏离，或本次较上次变化明显</w:t>
            </w:r>
          </w:p>
        </w:tc>
        <w:tc>
          <w:tcPr>
            <w:tcW w:type="pct" w:w="15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纳入解读要点；调整用眼行为的建议；缩短复查周期</w:t>
            </w:r>
          </w:p>
        </w:tc>
        <w:tc>
          <w:tcPr>
            <w:tcW w:type="pct" w:w="16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这项稍微偏一点点，我们先留意，三个月后复查看看趋势。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</w:p>
        </w:tc>
      </w:tr>
      <w:tr>
        <w:tc>
          <w:tcPr>
            <w:tcW w:type="pct" w:w="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异常（红）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明确超出参考范围，或与症状相符</w:t>
            </w:r>
          </w:p>
        </w:tc>
        <w:tc>
          <w:tcPr>
            <w:tcW w:type="pct" w:w="15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纳入重点讲解；给出方案；必要时安排复测确认</w:t>
            </w:r>
          </w:p>
        </w:tc>
        <w:tc>
          <w:tcPr>
            <w:tcW w:type="pct" w:w="16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这项不在正常范围，我们具体来看一下，然后商量怎么处理好。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</w:p>
        </w:tc>
      </w:tr>
      <w:tr>
        <w:tc>
          <w:tcPr>
            <w:tcW w:type="pct" w:w="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转诊提示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可能提示眼病，超出门店服务范围</w:t>
            </w:r>
          </w:p>
        </w:tc>
        <w:tc>
          <w:tcPr>
            <w:tcW w:type="pct" w:w="15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停止推销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；书面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口头转诊提醒；登记；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72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小时回访；留存记录</w:t>
            </w:r>
          </w:p>
        </w:tc>
        <w:tc>
          <w:tcPr>
            <w:tcW w:type="pct" w:w="16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这一项我建议尽快到爱眼城眼科做个检查确认，我们门店看不了这个，不能耽误。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</w:p>
        </w:tc>
      </w:tr>
    </w:tbl>
    <w:p>
      <w:pPr>
        <w:spacing w:line="384" w:lineRule="auto" w:before="63" w:after="90"/>
        <w:jc w:val="left"/>
        <w:shd w:val="clear" w:color="auto" w:fill="F5F7FA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两条补充规则（口令版见“六、查表常见错误与纠正”之后）：</w:t>
      </w:r>
      <w:r>
        <w:rPr>
          <w:rFonts w:ascii="微软雅黑" w:hAnsi="微软雅黑"/>
          <w:color w:val="212121"/>
          <w:sz w:val="18"/>
        </w:rPr>
        <w:t xml:space="preserve">① 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就低不就高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拿不准按更严重一档处理；</w:t>
      </w:r>
      <w:r>
        <w:rPr>
          <w:rFonts w:ascii="微软雅黑" w:hAnsi="微软雅黑"/>
          <w:color w:val="212121"/>
          <w:sz w:val="18"/>
        </w:rPr>
        <w:t xml:space="preserve">② 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双 hit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两个及以上相关指标同时异常（如眼轴增长快</w:t>
      </w:r>
      <w:r>
        <w:rPr>
          <w:rFonts w:ascii="微软雅黑" w:hAnsi="微软雅黑"/>
          <w:color w:val="212121"/>
          <w:sz w:val="18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角膜曲率异常），直接按</w:t>
      </w:r>
      <w:r>
        <w:rPr>
          <w:rFonts w:ascii="微软雅黑" w:hAnsi="微软雅黑"/>
          <w:color w:val="212121"/>
          <w:sz w:val="18"/>
        </w:rPr>
        <w:t>“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转诊提示</w:t>
      </w:r>
      <w:r>
        <w:rPr>
          <w:rFonts w:ascii="微软雅黑" w:hAnsi="微软雅黑"/>
          <w:color w:val="212121"/>
          <w:sz w:val="18"/>
        </w:rPr>
        <w:t>”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处理。</w:t>
      </w:r>
    </w:p>
    <w:p>
      <w:bookmarkStart w:id="15" w:name="_Toc_section_2"/>
      <w:bookmarkStart w:id="1" w:name="section-2"/>
      <w:pPr>
        <w:pStyle w:val="Heading2"/>
        <w:spacing w:line="312" w:lineRule="auto"/>
        <w:jc w:val="left"/>
        <w:pBdr>
          <w:bottom w:val="single" w:sz="8" w:space="0" w:color="E0E0E0"/>
        </w:pBdr>
      </w:pPr>
      <w:bookmarkEnd w:id="1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一、视力</w:t>
      </w:r>
      <w:bookmarkEnd w:id="15"/>
    </w:p>
    <w:p>
      <w:pPr>
        <w:spacing w:line="384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视力是门店最基础、也最容易被</w:t>
      </w:r>
      <w:r>
        <w:rPr>
          <w:rFonts w:ascii="微软雅黑" w:hAnsi="微软雅黑"/>
          <w:color w:val="212121"/>
          <w:sz w:val="18"/>
        </w:rPr>
        <w:t>“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一句带过</w:t>
      </w:r>
      <w:r>
        <w:rPr>
          <w:rFonts w:ascii="微软雅黑" w:hAnsi="微软雅黑"/>
          <w:color w:val="212121"/>
          <w:sz w:val="18"/>
        </w:rPr>
        <w:t>”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的项目。先按年龄取参考下限，再看单次结果是否落在关注</w:t>
      </w:r>
      <w:r>
        <w:rPr>
          <w:rFonts w:ascii="微软雅黑" w:hAnsi="微软雅黑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异常档；判断时结合年龄、双眼差异与矫正能否达标综合看。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1.1 不同年龄的视力参考（单眼）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2851"/>
        <w:gridCol w:w="778"/>
        <w:gridCol w:w="1296"/>
        <w:gridCol w:w="2506"/>
      </w:tblGrid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年龄</w:t>
            </w:r>
          </w:p>
        </w:tc>
        <w:tc>
          <w:tcPr>
            <w:tcW w:type="pct" w:w="16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参考下限（小数记录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五分记录）</w:t>
            </w:r>
          </w:p>
        </w:tc>
        <w:tc>
          <w:tcPr>
            <w:tcW w:type="pct" w:w="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关注</w:t>
            </w:r>
          </w:p>
        </w:tc>
        <w:tc>
          <w:tcPr>
            <w:tcW w:type="pct" w:w="7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异常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转诊提示</w:t>
            </w:r>
          </w:p>
        </w:tc>
        <w:tc>
          <w:tcPr>
            <w:tcW w:type="pct" w:w="1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备注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3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</w:t>
            </w:r>
          </w:p>
        </w:tc>
        <w:tc>
          <w:tcPr>
            <w:tcW w:type="pct" w:w="16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0.5 / 4.7</w:t>
            </w:r>
          </w:p>
        </w:tc>
        <w:tc>
          <w:tcPr>
            <w:tcW w:type="pct" w:w="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0.4</w:t>
            </w:r>
          </w:p>
        </w:tc>
        <w:tc>
          <w:tcPr>
            <w:tcW w:type="pct" w:w="7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≤0.3</w:t>
            </w:r>
          </w:p>
        </w:tc>
        <w:tc>
          <w:tcPr>
            <w:tcW w:type="pct" w:w="1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配合度影响大，图形视力表测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4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</w:t>
            </w:r>
          </w:p>
        </w:tc>
        <w:tc>
          <w:tcPr>
            <w:tcW w:type="pct" w:w="16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0.6 / 4.8</w:t>
            </w:r>
          </w:p>
        </w:tc>
        <w:tc>
          <w:tcPr>
            <w:tcW w:type="pct" w:w="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0.5</w:t>
            </w:r>
          </w:p>
        </w:tc>
        <w:tc>
          <w:tcPr>
            <w:tcW w:type="pct" w:w="7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≤0.4</w:t>
            </w:r>
          </w:p>
        </w:tc>
        <w:tc>
          <w:tcPr>
            <w:tcW w:type="pct" w:w="1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双眼视力相差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≥2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行需查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5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</w:t>
            </w:r>
          </w:p>
        </w:tc>
        <w:tc>
          <w:tcPr>
            <w:tcW w:type="pct" w:w="16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0.6~0.8 / 4.8~4.9</w:t>
            </w:r>
          </w:p>
        </w:tc>
        <w:tc>
          <w:tcPr>
            <w:tcW w:type="pct" w:w="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0.5</w:t>
            </w:r>
          </w:p>
        </w:tc>
        <w:tc>
          <w:tcPr>
            <w:tcW w:type="pct" w:w="7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≤0.4</w:t>
            </w:r>
          </w:p>
        </w:tc>
        <w:tc>
          <w:tcPr>
            <w:tcW w:type="pct" w:w="1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​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6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</w:t>
            </w:r>
          </w:p>
        </w:tc>
        <w:tc>
          <w:tcPr>
            <w:tcW w:type="pct" w:w="16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0.7~0.8 / 4.85~4.9</w:t>
            </w:r>
          </w:p>
        </w:tc>
        <w:tc>
          <w:tcPr>
            <w:tcW w:type="pct" w:w="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0.6</w:t>
            </w:r>
          </w:p>
        </w:tc>
        <w:tc>
          <w:tcPr>
            <w:tcW w:type="pct" w:w="7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≤0.5</w:t>
            </w:r>
          </w:p>
        </w:tc>
        <w:tc>
          <w:tcPr>
            <w:tcW w:type="pct" w:w="1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入小学前应完成一次系统检查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7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岁及以上</w:t>
            </w:r>
          </w:p>
        </w:tc>
        <w:tc>
          <w:tcPr>
            <w:tcW w:type="pct" w:w="16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0.8~1.0 / 4.9~5.0</w:t>
            </w:r>
          </w:p>
        </w:tc>
        <w:tc>
          <w:tcPr>
            <w:tcW w:type="pct" w:w="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0.7</w:t>
            </w:r>
          </w:p>
        </w:tc>
        <w:tc>
          <w:tcPr>
            <w:tcW w:type="pct" w:w="7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≤0.6</w:t>
            </w:r>
          </w:p>
        </w:tc>
        <w:tc>
          <w:tcPr>
            <w:tcW w:type="pct" w:w="1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达不到就要查原因：屈光不正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弱视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眼病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成年人（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18-45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）</w:t>
            </w:r>
          </w:p>
        </w:tc>
        <w:tc>
          <w:tcPr>
            <w:tcW w:type="pct" w:w="16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1.0 / 5.0</w:t>
            </w:r>
          </w:p>
        </w:tc>
        <w:tc>
          <w:tcPr>
            <w:tcW w:type="pct" w:w="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0.8</w:t>
            </w:r>
          </w:p>
        </w:tc>
        <w:tc>
          <w:tcPr>
            <w:tcW w:type="pct" w:w="7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≤0.6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且矫正不达标</w:t>
            </w:r>
          </w:p>
        </w:tc>
        <w:tc>
          <w:tcPr>
            <w:tcW w:type="pct" w:w="1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矫正视力＜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1.0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必须查原因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中老年（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45+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）</w:t>
            </w:r>
          </w:p>
        </w:tc>
        <w:tc>
          <w:tcPr>
            <w:tcW w:type="pct" w:w="16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0.8~1.0 / 4.9~5.0</w:t>
            </w:r>
          </w:p>
        </w:tc>
        <w:tc>
          <w:tcPr>
            <w:tcW w:type="pct" w:w="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0.6</w:t>
            </w:r>
          </w:p>
        </w:tc>
        <w:tc>
          <w:tcPr>
            <w:tcW w:type="pct" w:w="7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矫正视力＜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0.6</w:t>
            </w:r>
          </w:p>
        </w:tc>
        <w:tc>
          <w:tcPr>
            <w:tcW w:type="pct" w:w="1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老视为看近下降，看远应正常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70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+</w:t>
            </w:r>
          </w:p>
        </w:tc>
        <w:tc>
          <w:tcPr>
            <w:tcW w:type="pct" w:w="16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0.6~0.8 / 4.8~4.9</w:t>
            </w:r>
          </w:p>
        </w:tc>
        <w:tc>
          <w:tcPr>
            <w:tcW w:type="pct" w:w="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0.5</w:t>
            </w:r>
          </w:p>
        </w:tc>
        <w:tc>
          <w:tcPr>
            <w:tcW w:type="pct" w:w="7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矫正视力＜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0.5</w:t>
            </w:r>
          </w:p>
        </w:tc>
        <w:tc>
          <w:tcPr>
            <w:tcW w:type="pct" w:w="1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矫正后仍不达标需到院排查白内障等眼病</w:t>
            </w:r>
          </w:p>
        </w:tc>
      </w:tr>
    </w:tbl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1.2 裸眼视力与矫正视力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1210"/>
        <w:gridCol w:w="778"/>
        <w:gridCol w:w="2333"/>
        <w:gridCol w:w="3110"/>
      </w:tblGrid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项目</w:t>
            </w:r>
          </w:p>
        </w:tc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正常</w:t>
            </w:r>
          </w:p>
        </w:tc>
        <w:tc>
          <w:tcPr>
            <w:tcW w:type="pct" w:w="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关注</w:t>
            </w:r>
          </w:p>
        </w:tc>
        <w:tc>
          <w:tcPr>
            <w:tcW w:type="pct" w:w="1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异常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转诊提示</w:t>
            </w:r>
          </w:p>
        </w:tc>
        <w:tc>
          <w:tcPr>
            <w:tcW w:type="pct" w:w="1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备注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裸眼远视力</w:t>
            </w:r>
          </w:p>
        </w:tc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≥1.0</w:t>
            </w:r>
          </w:p>
        </w:tc>
        <w:tc>
          <w:tcPr>
            <w:tcW w:type="pct" w:w="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0.6~0.8</w:t>
            </w:r>
          </w:p>
        </w:tc>
        <w:tc>
          <w:tcPr>
            <w:tcW w:type="pct" w:w="1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&lt;0.6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需查屈光</w:t>
            </w:r>
          </w:p>
        </w:tc>
        <w:tc>
          <w:tcPr>
            <w:tcW w:type="pct" w:w="1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结合年龄上限综合看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矫正远视力</w:t>
            </w:r>
          </w:p>
        </w:tc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达年龄对应上限</w:t>
            </w:r>
          </w:p>
        </w:tc>
        <w:tc>
          <w:tcPr>
            <w:tcW w:type="pct" w:w="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欠矫一行</w:t>
            </w:r>
          </w:p>
        </w:tc>
        <w:tc>
          <w:tcPr>
            <w:tcW w:type="pct" w:w="1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矫正不达标（&lt;0.8）→ 必须查明原因</w:t>
            </w:r>
          </w:p>
        </w:tc>
        <w:tc>
          <w:tcPr>
            <w:tcW w:type="pct" w:w="1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足矫仍不达标，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转诊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（排查弱视、白内障等眼病）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双眼视力差</w:t>
            </w:r>
          </w:p>
        </w:tc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≤1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行</w:t>
            </w:r>
          </w:p>
        </w:tc>
        <w:tc>
          <w:tcPr>
            <w:tcW w:type="pct" w:w="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行</w:t>
            </w:r>
          </w:p>
        </w:tc>
        <w:tc>
          <w:tcPr>
            <w:tcW w:type="pct" w:w="1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≥2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行且一眼矫正不达标</w:t>
            </w:r>
          </w:p>
        </w:tc>
        <w:tc>
          <w:tcPr>
            <w:tcW w:type="pct" w:w="1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儿童提示弱视风险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近视力（成人）</w:t>
            </w:r>
          </w:p>
        </w:tc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≥1.0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33cm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）</w:t>
            </w:r>
          </w:p>
        </w:tc>
        <w:tc>
          <w:tcPr>
            <w:tcW w:type="pct" w:w="4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0.8</w:t>
            </w:r>
          </w:p>
        </w:tc>
        <w:tc>
          <w:tcPr>
            <w:tcW w:type="pct" w:w="1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&lt;0.6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45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岁以上先考虑老视）</w:t>
            </w:r>
          </w:p>
        </w:tc>
        <w:tc>
          <w:tcPr>
            <w:tcW w:type="pct" w:w="1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45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岁以下看近明显差需查调节</w:t>
            </w:r>
          </w:p>
        </w:tc>
      </w:tr>
    </w:tbl>
    <w:p>
      <w:pPr>
        <w:spacing w:line="384" w:lineRule="auto" w:before="63" w:after="90"/>
        <w:jc w:val="left"/>
        <w:shd w:val="clear" w:color="auto" w:fill="F5F7FA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通俗讲法：</w:t>
      </w:r>
      <w:r>
        <w:rPr>
          <w:rFonts w:ascii="微软雅黑" w:hAnsi="微软雅黑"/>
          <w:color w:val="212121"/>
          <w:sz w:val="18"/>
        </w:rPr>
        <w:t>“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矫正视力就是戴上最合适的眼镜以后能看到的最好水平。如果连戴上眼镜都看不清</w:t>
      </w:r>
      <w:r>
        <w:rPr>
          <w:rFonts w:ascii="微软雅黑" w:hAnsi="微软雅黑"/>
          <w:color w:val="212121"/>
          <w:sz w:val="18"/>
        </w:rPr>
        <w:t xml:space="preserve"> 1.0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，那就不是</w:t>
      </w:r>
      <w:r>
        <w:rPr>
          <w:rFonts w:ascii="微软雅黑" w:hAnsi="微软雅黑"/>
          <w:color w:val="212121"/>
          <w:sz w:val="18"/>
        </w:rPr>
        <w:t>‘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度数配不准</w:t>
      </w:r>
      <w:r>
        <w:rPr>
          <w:rFonts w:ascii="微软雅黑" w:hAnsi="微软雅黑"/>
          <w:color w:val="212121"/>
          <w:sz w:val="18"/>
        </w:rPr>
        <w:t>’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这么简单，眼睛本身可能有问题，需要到爱眼城眼科查一下。</w:t>
      </w:r>
      <w:r>
        <w:rPr>
          <w:rFonts w:ascii="微软雅黑" w:hAnsi="微软雅黑"/>
          <w:color w:val="212121"/>
          <w:sz w:val="18"/>
        </w:rPr>
        <w:t>”</w:t>
      </w:r>
    </w:p>
    <w:p>
      <w:bookmarkStart w:id="16" w:name="_Toc_section_3"/>
      <w:bookmarkStart w:id="2" w:name="section-3"/>
      <w:pPr>
        <w:pStyle w:val="Heading2"/>
        <w:spacing w:line="312" w:lineRule="auto"/>
        <w:jc w:val="left"/>
        <w:pBdr>
          <w:bottom w:val="single" w:sz="8" w:space="0" w:color="E0E0E0"/>
        </w:pBdr>
      </w:pPr>
      <w:bookmarkEnd w:id="2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二、屈光度</w:t>
      </w:r>
      <w:bookmarkEnd w:id="16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2333"/>
        <w:gridCol w:w="1642"/>
        <w:gridCol w:w="1901"/>
        <w:gridCol w:w="1555"/>
      </w:tblGrid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项目</w:t>
            </w:r>
          </w:p>
        </w:tc>
        <w:tc>
          <w:tcPr>
            <w:tcW w:type="pct" w:w="1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正常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参考</w:t>
            </w:r>
          </w:p>
        </w:tc>
        <w:tc>
          <w:tcPr>
            <w:tcW w:type="pct" w:w="9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关注</w:t>
            </w:r>
          </w:p>
        </w:tc>
        <w:tc>
          <w:tcPr>
            <w:tcW w:type="pct" w:w="1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异常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转诊提示</w:t>
            </w:r>
          </w:p>
        </w:tc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备注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球镜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S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（等效球镜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SE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）</w:t>
            </w:r>
          </w:p>
        </w:tc>
        <w:tc>
          <w:tcPr>
            <w:tcW w:type="pct" w:w="1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正视：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-0.50 ~ +0.50D</w:t>
            </w:r>
          </w:p>
        </w:tc>
        <w:tc>
          <w:tcPr>
            <w:tcW w:type="pct" w:w="9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±0.50~0.75D</w:t>
            </w:r>
          </w:p>
        </w:tc>
        <w:tc>
          <w:tcPr>
            <w:tcW w:type="pct" w:w="1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见下方分级</w:t>
            </w:r>
          </w:p>
        </w:tc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SE =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球镜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+ 1/2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柱镜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近视分级</w:t>
            </w:r>
          </w:p>
        </w:tc>
        <w:tc>
          <w:tcPr>
            <w:tcW w:type="pct" w:w="1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—</w:t>
            </w:r>
          </w:p>
        </w:tc>
        <w:tc>
          <w:tcPr>
            <w:tcW w:type="pct" w:w="9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低度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-0.50~-3.00D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中度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-3.00~-6.00D</w:t>
            </w:r>
          </w:p>
        </w:tc>
        <w:tc>
          <w:tcPr>
            <w:tcW w:type="pct" w:w="1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高度 &lt; -6.00D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（每年做一次全面眼健康检查）</w:t>
            </w:r>
          </w:p>
        </w:tc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高度近视需关注眼轴长度与并发症风险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远视（儿童）</w:t>
            </w:r>
          </w:p>
        </w:tc>
        <w:tc>
          <w:tcPr>
            <w:tcW w:type="pct" w:w="1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生理性远视（远视储备，见下表）</w:t>
            </w:r>
          </w:p>
        </w:tc>
        <w:tc>
          <w:tcPr>
            <w:tcW w:type="pct" w:w="9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低于同龄下限</w:t>
            </w:r>
          </w:p>
        </w:tc>
        <w:tc>
          <w:tcPr>
            <w:tcW w:type="pct" w:w="1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储备过早消耗完毕</w:t>
            </w:r>
          </w:p>
        </w:tc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储备不足是近视预警信号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散光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C</w:t>
            </w:r>
          </w:p>
        </w:tc>
        <w:tc>
          <w:tcPr>
            <w:tcW w:type="pct" w:w="1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≤0.50D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（生理性）</w:t>
            </w:r>
          </w:p>
        </w:tc>
        <w:tc>
          <w:tcPr>
            <w:tcW w:type="pct" w:w="9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0.75~1.50D</w:t>
            </w:r>
          </w:p>
        </w:tc>
        <w:tc>
          <w:tcPr>
            <w:tcW w:type="pct" w:w="1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&gt;2.00D 需排查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（尤其伴角膜曲率异常）</w:t>
            </w:r>
          </w:p>
        </w:tc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规则散光常见，不规则散光注意圆锥角膜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散光度数快速增加</w:t>
            </w:r>
          </w:p>
        </w:tc>
        <w:tc>
          <w:tcPr>
            <w:tcW w:type="pct" w:w="1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年变化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≤0.50D</w:t>
            </w:r>
          </w:p>
        </w:tc>
        <w:tc>
          <w:tcPr>
            <w:tcW w:type="pct" w:w="9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年增加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0.50~1.00D</w:t>
            </w:r>
          </w:p>
        </w:tc>
        <w:tc>
          <w:tcPr>
            <w:tcW w:type="pct" w:w="1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年增加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&gt;1.00D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或角膜散光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&gt;2.00D →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转诊排查</w:t>
            </w:r>
          </w:p>
        </w:tc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警惕圆锥角膜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屈光参差（球镜差）</w:t>
            </w:r>
          </w:p>
        </w:tc>
        <w:tc>
          <w:tcPr>
            <w:tcW w:type="pct" w:w="1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&lt;1.00D</w:t>
            </w:r>
          </w:p>
        </w:tc>
        <w:tc>
          <w:tcPr>
            <w:tcW w:type="pct" w:w="9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1.00~1.50D</w:t>
            </w:r>
          </w:p>
        </w:tc>
        <w:tc>
          <w:tcPr>
            <w:tcW w:type="pct" w:w="1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≥1.50D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（儿童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≥1.00D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即关注）</w:t>
            </w:r>
          </w:p>
        </w:tc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影响双眼单视，儿童警惕弱视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屈光参差（柱镜差）</w:t>
            </w:r>
          </w:p>
        </w:tc>
        <w:tc>
          <w:tcPr>
            <w:tcW w:type="pct" w:w="1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&lt;0.75D</w:t>
            </w:r>
          </w:p>
        </w:tc>
        <w:tc>
          <w:tcPr>
            <w:tcW w:type="pct" w:w="9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0.75~1.00D</w:t>
            </w:r>
          </w:p>
        </w:tc>
        <w:tc>
          <w:tcPr>
            <w:tcW w:type="pct" w:w="1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≥1.00D</w:t>
            </w:r>
          </w:p>
        </w:tc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同上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年增加量（近视儿童）</w:t>
            </w:r>
          </w:p>
        </w:tc>
        <w:tc>
          <w:tcPr>
            <w:tcW w:type="pct" w:w="1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&lt;0.50D/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年</w:t>
            </w:r>
          </w:p>
        </w:tc>
        <w:tc>
          <w:tcPr>
            <w:tcW w:type="pct" w:w="9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0.50~0.75D/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年</w:t>
            </w:r>
          </w:p>
        </w:tc>
        <w:tc>
          <w:tcPr>
            <w:tcW w:type="pct" w:w="1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&gt;1.00D/年 控制不佳</w:t>
            </w:r>
          </w:p>
        </w:tc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与眼轴年增长结合判断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老视（近附加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ADD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）</w:t>
            </w:r>
          </w:p>
        </w:tc>
        <w:tc>
          <w:tcPr>
            <w:tcW w:type="pct" w:w="1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45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+1.00D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50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+1.50D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55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+2.00D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60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+2.50D</w:t>
            </w:r>
          </w:p>
        </w:tc>
        <w:tc>
          <w:tcPr>
            <w:tcW w:type="pct" w:w="9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明显偏离同龄经验值</w:t>
            </w:r>
          </w:p>
        </w:tc>
        <w:tc>
          <w:tcPr>
            <w:tcW w:type="pct" w:w="1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ADD &gt;+3.00D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或短期快速上升</w:t>
            </w:r>
          </w:p>
        </w:tc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经验参考，必须主觉验光确认</w:t>
            </w:r>
          </w:p>
        </w:tc>
      </w:tr>
    </w:tbl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>2.1 儿童远视储备参考（睫状肌麻痹 / 散瞳验光为准）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2246"/>
        <w:gridCol w:w="1987"/>
        <w:gridCol w:w="3024"/>
      </w:tblGrid>
      <w:tr>
        <w:tc>
          <w:tcPr>
            <w:tcW w:type="pct" w:w="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年龄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参考远视储备</w:t>
            </w:r>
          </w:p>
        </w:tc>
        <w:tc>
          <w:tcPr>
            <w:tcW w:type="pct" w:w="1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偏低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关注</w:t>
            </w:r>
          </w:p>
        </w:tc>
        <w:tc>
          <w:tcPr>
            <w:tcW w:type="pct" w:w="17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提示</w:t>
            </w:r>
          </w:p>
        </w:tc>
      </w:tr>
      <w:tr>
        <w:tc>
          <w:tcPr>
            <w:tcW w:type="pct" w:w="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3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+2.00 ~ +3.00D</w:t>
            </w:r>
          </w:p>
        </w:tc>
        <w:tc>
          <w:tcPr>
            <w:tcW w:type="pct" w:w="1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&lt;+1.50D</w:t>
            </w:r>
          </w:p>
        </w:tc>
        <w:tc>
          <w:tcPr>
            <w:tcW w:type="pct" w:w="17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储备偏低，近视风险上升</w:t>
            </w:r>
          </w:p>
        </w:tc>
      </w:tr>
      <w:tr>
        <w:tc>
          <w:tcPr>
            <w:tcW w:type="pct" w:w="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4-5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+1.50 ~ +2.50D</w:t>
            </w:r>
          </w:p>
        </w:tc>
        <w:tc>
          <w:tcPr>
            <w:tcW w:type="pct" w:w="1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&lt;+1.25D</w:t>
            </w:r>
          </w:p>
        </w:tc>
        <w:tc>
          <w:tcPr>
            <w:tcW w:type="pct" w:w="17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加强户外，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3-6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个月复查</w:t>
            </w:r>
          </w:p>
        </w:tc>
      </w:tr>
      <w:tr>
        <w:tc>
          <w:tcPr>
            <w:tcW w:type="pct" w:w="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6-7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+1.00 ~ +1.75D</w:t>
            </w:r>
          </w:p>
        </w:tc>
        <w:tc>
          <w:tcPr>
            <w:tcW w:type="pct" w:w="1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&lt;+0.75D</w:t>
            </w:r>
          </w:p>
        </w:tc>
        <w:tc>
          <w:tcPr>
            <w:tcW w:type="pct" w:w="17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入学前后是关键窗口期</w:t>
            </w:r>
          </w:p>
        </w:tc>
      </w:tr>
      <w:tr>
        <w:tc>
          <w:tcPr>
            <w:tcW w:type="pct" w:w="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8-9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+0.75 ~ +1.25D</w:t>
            </w:r>
          </w:p>
        </w:tc>
        <w:tc>
          <w:tcPr>
            <w:tcW w:type="pct" w:w="1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&lt;+0.50D</w:t>
            </w:r>
          </w:p>
        </w:tc>
        <w:tc>
          <w:tcPr>
            <w:tcW w:type="pct" w:w="17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储备接近耗尽，需密切随访</w:t>
            </w:r>
          </w:p>
        </w:tc>
      </w:tr>
      <w:tr>
        <w:tc>
          <w:tcPr>
            <w:tcW w:type="pct" w:w="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10-11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+0.25 ~ +0.75D</w:t>
            </w:r>
          </w:p>
        </w:tc>
        <w:tc>
          <w:tcPr>
            <w:tcW w:type="pct" w:w="1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≤0.00D</w:t>
            </w:r>
          </w:p>
        </w:tc>
        <w:tc>
          <w:tcPr>
            <w:tcW w:type="pct" w:w="17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已到临界，任何近视都需管理</w:t>
            </w:r>
          </w:p>
        </w:tc>
      </w:tr>
      <w:tr>
        <w:tc>
          <w:tcPr>
            <w:tcW w:type="pct" w:w="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12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岁及以上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接近正视（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 ~ +0.50D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）</w:t>
            </w:r>
          </w:p>
        </w:tc>
        <w:tc>
          <w:tcPr>
            <w:tcW w:type="pct" w:w="1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已近视</w:t>
            </w:r>
          </w:p>
        </w:tc>
        <w:tc>
          <w:tcPr>
            <w:tcW w:type="pct" w:w="17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进入近视进展管理阶段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0F0"/>
            <w:tcBorders>
              <w:left w:val="single" w:sz="24" w:space="0" w:color="C62828"/>
            </w:tcBorders>
          </w:tcPr>
          <w:p>
            <w:r>
              <w:rPr>
                <w:b/>
              </w:rPr>
              <w:t>注意：</w:t>
            </w:r>
            <w:r>
              <w:t>未散瞳电脑验光会</w:t>
            </w:r>
            <w:r>
              <w:rPr>
                <w:b/>
              </w:rPr>
              <w:t>高估近视、低估远视</w:t>
            </w:r>
            <w:r>
              <w:t>（儿童调节力强）。儿童远视储备判断必须以</w:t>
            </w:r>
            <w:r>
              <w:rPr>
                <w:b/>
              </w:rPr>
              <w:t>散瞳验光结果</w:t>
            </w:r>
            <w:r>
              <w:t>为准；门店不具备条件时提醒家长到爱眼城眼科做。</w:t>
            </w:r>
            <w:r>
              <w:rPr>
                <w:b/>
              </w:rPr>
              <w:t>不得凭未散瞳的电脑验光单给家长下“储备不足”结论。</w:t>
            </w:r>
          </w:p>
        </w:tc>
      </w:tr>
    </w:tbl>
    <w:p>
      <w:bookmarkStart w:id="17" w:name="_Toc_section_4"/>
      <w:bookmarkStart w:id="3" w:name="section-4"/>
      <w:pPr>
        <w:pStyle w:val="Heading2"/>
        <w:spacing w:line="312" w:lineRule="auto"/>
        <w:jc w:val="left"/>
        <w:pBdr>
          <w:bottom w:val="single" w:sz="8" w:space="0" w:color="E0E0E0"/>
        </w:pBdr>
      </w:pPr>
      <w:bookmarkEnd w:id="3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三、眼轴长度与角膜曲率（眼生物测量）</w:t>
      </w:r>
      <w:bookmarkEnd w:id="17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1728"/>
        <w:gridCol w:w="1382"/>
        <w:gridCol w:w="2419"/>
        <w:gridCol w:w="1901"/>
      </w:tblGrid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项目</w:t>
            </w:r>
          </w:p>
        </w:tc>
        <w:tc>
          <w:tcPr>
            <w:tcW w:type="pct" w:w="10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参考区间</w:t>
            </w:r>
          </w:p>
        </w:tc>
        <w:tc>
          <w:tcPr>
            <w:tcW w:type="pct" w:w="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关注</w:t>
            </w:r>
          </w:p>
        </w:tc>
        <w:tc>
          <w:tcPr>
            <w:tcW w:type="pct" w:w="14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异常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转诊提示</w:t>
            </w:r>
          </w:p>
        </w:tc>
        <w:tc>
          <w:tcPr>
            <w:tcW w:type="pct" w:w="1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备注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眼轴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AL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（成人正视）</w:t>
            </w:r>
          </w:p>
        </w:tc>
        <w:tc>
          <w:tcPr>
            <w:tcW w:type="pct" w:w="10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23.0 ~ 24.0mm</w:t>
            </w:r>
          </w:p>
        </w:tc>
        <w:tc>
          <w:tcPr>
            <w:tcW w:type="pct" w:w="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24.0~25.0mm</w:t>
            </w:r>
          </w:p>
        </w:tc>
        <w:tc>
          <w:tcPr>
            <w:tcW w:type="pct" w:w="14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&gt;26.0mm（高度近视，并发症风险升高）</w:t>
            </w:r>
          </w:p>
        </w:tc>
        <w:tc>
          <w:tcPr>
            <w:tcW w:type="pct" w:w="1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与身高体型、种族相关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眼轴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AL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（儿童参考均值）</w:t>
            </w:r>
          </w:p>
        </w:tc>
        <w:tc>
          <w:tcPr>
            <w:tcW w:type="pct" w:w="10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3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21.5~22.0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6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22.0~22.5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8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22.5~23.0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10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23.0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左右；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12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23.5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左右</w:t>
            </w:r>
          </w:p>
        </w:tc>
        <w:tc>
          <w:tcPr>
            <w:tcW w:type="pct" w:w="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高于同龄均值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0.5mm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以上</w:t>
            </w:r>
          </w:p>
        </w:tc>
        <w:tc>
          <w:tcPr>
            <w:tcW w:type="pct" w:w="14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高于同龄均值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1.0mm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以上</w:t>
            </w:r>
          </w:p>
        </w:tc>
        <w:tc>
          <w:tcPr>
            <w:tcW w:type="pct" w:w="1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个体差异大，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看增长速率更重要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；亦可按同龄百分位（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P50 / P95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）参考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眼轴年增长（未近视儿童）</w:t>
            </w:r>
          </w:p>
        </w:tc>
        <w:tc>
          <w:tcPr>
            <w:tcW w:type="pct" w:w="10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&lt;0.20mm/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年</w:t>
            </w:r>
          </w:p>
        </w:tc>
        <w:tc>
          <w:tcPr>
            <w:tcW w:type="pct" w:w="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0.20~0.30mm/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年</w:t>
            </w:r>
          </w:p>
        </w:tc>
        <w:tc>
          <w:tcPr>
            <w:tcW w:type="pct" w:w="14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&gt;0.30mm/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年</w:t>
            </w:r>
          </w:p>
        </w:tc>
        <w:tc>
          <w:tcPr>
            <w:tcW w:type="pct" w:w="1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生理性增长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眼轴年增长（近视儿童）</w:t>
            </w:r>
          </w:p>
        </w:tc>
        <w:tc>
          <w:tcPr>
            <w:tcW w:type="pct" w:w="10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控制目标：≤0.20~0.30mm/年</w:t>
            </w:r>
          </w:p>
        </w:tc>
        <w:tc>
          <w:tcPr>
            <w:tcW w:type="pct" w:w="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0.30~0.40mm/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年</w:t>
            </w:r>
          </w:p>
        </w:tc>
        <w:tc>
          <w:tcPr>
            <w:tcW w:type="pct" w:w="14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&gt;0.40mm/年为控制不佳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，需调整方案并考虑就医评估</w:t>
            </w:r>
          </w:p>
        </w:tc>
        <w:tc>
          <w:tcPr>
            <w:tcW w:type="pct" w:w="1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核心控近指标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轴率比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AL/CR</w:t>
            </w:r>
          </w:p>
        </w:tc>
        <w:tc>
          <w:tcPr>
            <w:tcW w:type="pct" w:w="10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3.00</w:t>
            </w:r>
          </w:p>
        </w:tc>
        <w:tc>
          <w:tcPr>
            <w:tcW w:type="pct" w:w="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3.00~3.10</w:t>
            </w:r>
          </w:p>
        </w:tc>
        <w:tc>
          <w:tcPr>
            <w:tcW w:type="pct" w:w="14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&gt;3.10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提示近视化明显</w:t>
            </w:r>
          </w:p>
        </w:tc>
        <w:tc>
          <w:tcPr>
            <w:tcW w:type="pct" w:w="1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比单独看眼轴更能反映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结构匹配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角膜曲率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K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（平均）</w:t>
            </w:r>
          </w:p>
        </w:tc>
        <w:tc>
          <w:tcPr>
            <w:tcW w:type="pct" w:w="10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39.0 ~ 46.0D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（常见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42~44D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）</w:t>
            </w:r>
          </w:p>
        </w:tc>
        <w:tc>
          <w:tcPr>
            <w:tcW w:type="pct" w:w="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46.0~47.0D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或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&lt;39.0D</w:t>
            </w:r>
          </w:p>
        </w:tc>
        <w:tc>
          <w:tcPr>
            <w:tcW w:type="pct" w:w="14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&gt;47.0D 或 &lt;38.0D → 转诊排查圆锥 / 扁平角膜</w:t>
            </w:r>
          </w:p>
        </w:tc>
        <w:tc>
          <w:tcPr>
            <w:tcW w:type="pct" w:w="1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需看地形图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角膜散光（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K1-K2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）</w:t>
            </w:r>
          </w:p>
        </w:tc>
        <w:tc>
          <w:tcPr>
            <w:tcW w:type="pct" w:w="10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0.50 ~ 1.25D</w:t>
            </w:r>
          </w:p>
        </w:tc>
        <w:tc>
          <w:tcPr>
            <w:tcW w:type="pct" w:w="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1.50~2.00D</w:t>
            </w:r>
          </w:p>
        </w:tc>
        <w:tc>
          <w:tcPr>
            <w:tcW w:type="pct" w:w="14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&gt;2.00D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或不规则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→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转诊排查</w:t>
            </w:r>
          </w:p>
        </w:tc>
        <w:tc>
          <w:tcPr>
            <w:tcW w:type="pct" w:w="1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多为顺规散光（轴位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180±30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）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双眼角膜曲率差</w:t>
            </w:r>
          </w:p>
        </w:tc>
        <w:tc>
          <w:tcPr>
            <w:tcW w:type="pct" w:w="10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&lt;0.75D</w:t>
            </w:r>
          </w:p>
        </w:tc>
        <w:tc>
          <w:tcPr>
            <w:tcW w:type="pct" w:w="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0.75~1.00D</w:t>
            </w:r>
          </w:p>
        </w:tc>
        <w:tc>
          <w:tcPr>
            <w:tcW w:type="pct" w:w="14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&gt;1.00D → 转诊排查圆锥角膜</w:t>
            </w:r>
          </w:p>
        </w:tc>
        <w:tc>
          <w:tcPr>
            <w:tcW w:type="pct" w:w="1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结合地形图形态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前房深度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ACD</w:t>
            </w:r>
          </w:p>
        </w:tc>
        <w:tc>
          <w:tcPr>
            <w:tcW w:type="pct" w:w="10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2.5 ~ 3.5mm</w:t>
            </w:r>
          </w:p>
        </w:tc>
        <w:tc>
          <w:tcPr>
            <w:tcW w:type="pct" w:w="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2.0~2.5mm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（偏浅）</w:t>
            </w:r>
          </w:p>
        </w:tc>
        <w:tc>
          <w:tcPr>
            <w:tcW w:type="pct" w:w="14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&lt;2.0mm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（浅前房）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→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转诊评估</w:t>
            </w:r>
          </w:p>
        </w:tc>
        <w:tc>
          <w:tcPr>
            <w:tcW w:type="pct" w:w="1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远视眼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老年人偏浅</w:t>
            </w:r>
          </w:p>
        </w:tc>
      </w:tr>
      <w:tr>
        <w:tc>
          <w:tcPr>
            <w:tcW w:type="pct" w:w="7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角膜厚度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CCT</w:t>
            </w:r>
          </w:p>
        </w:tc>
        <w:tc>
          <w:tcPr>
            <w:tcW w:type="pct" w:w="10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500 ~ 560μm</w:t>
            </w:r>
          </w:p>
        </w:tc>
        <w:tc>
          <w:tcPr>
            <w:tcW w:type="pct" w:w="8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&gt;580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或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&lt;480μm</w:t>
            </w:r>
          </w:p>
        </w:tc>
        <w:tc>
          <w:tcPr>
            <w:tcW w:type="pct" w:w="14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&lt;450μm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（圆锥风险，需转诊评估）</w:t>
            </w:r>
          </w:p>
        </w:tc>
        <w:tc>
          <w:tcPr>
            <w:tcW w:type="pct" w:w="1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戴隐形眼镜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做过屈光手术者需说明</w:t>
            </w:r>
          </w:p>
        </w:tc>
      </w:tr>
    </w:tbl>
    <w:p>
      <w:pPr>
        <w:spacing w:line="384" w:lineRule="auto" w:before="63" w:after="90"/>
        <w:jc w:val="left"/>
        <w:shd w:val="clear" w:color="auto" w:fill="F5F7FA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通俗讲法（眼轴）：</w:t>
      </w:r>
      <w:r>
        <w:rPr>
          <w:rFonts w:ascii="微软雅黑" w:hAnsi="微软雅黑"/>
          <w:color w:val="212121"/>
          <w:sz w:val="18"/>
        </w:rPr>
        <w:t>“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眼球的前后长度叫眼轴。孩子长个子时会穿不上去年的裤子，眼球也是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眼轴每长</w:t>
      </w:r>
      <w:r>
        <w:rPr>
          <w:rFonts w:ascii="微软雅黑" w:hAnsi="微软雅黑"/>
          <w:color w:val="212121"/>
          <w:sz w:val="18"/>
        </w:rPr>
        <w:t xml:space="preserve"> 1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毫米，近视大概增加</w:t>
      </w:r>
      <w:r>
        <w:rPr>
          <w:rFonts w:ascii="微软雅黑" w:hAnsi="微软雅黑"/>
          <w:color w:val="212121"/>
          <w:sz w:val="18"/>
        </w:rPr>
        <w:t xml:space="preserve"> 250-300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度左右（个体有差异）。所以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我们不只看眼镜多少度，更要看这条‘生长曲线’的斜率。</w:t>
      </w:r>
      <w:r>
        <w:rPr>
          <w:rFonts w:ascii="微软雅黑" w:hAnsi="微软雅黑"/>
          <w:color w:val="212121"/>
          <w:sz w:val="18"/>
        </w:rPr>
        <w:t>”</w:t>
      </w:r>
    </w:p>
    <w:p>
      <w:bookmarkStart w:id="18" w:name="_Toc_section_5"/>
      <w:bookmarkStart w:id="4" w:name="section-5"/>
      <w:pPr>
        <w:pStyle w:val="Heading2"/>
        <w:spacing w:line="312" w:lineRule="auto"/>
        <w:jc w:val="left"/>
        <w:pBdr>
          <w:bottom w:val="single" w:sz="8" w:space="0" w:color="E0E0E0"/>
        </w:pBdr>
      </w:pPr>
      <w:bookmarkEnd w:id="4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四、双眼视功能</w:t>
      </w:r>
      <w:bookmarkEnd w:id="18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2160"/>
        <w:gridCol w:w="2678"/>
        <w:gridCol w:w="2246"/>
      </w:tblGrid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项目</w:t>
            </w:r>
          </w:p>
        </w:tc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参考区间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关注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异常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备注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远距隐斜</w:t>
            </w:r>
          </w:p>
        </w:tc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1△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外隐斜（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±2△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）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外隐斜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&gt;6△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或内隐斜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&gt;2△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需结合症状（视疲劳、重影）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近距隐斜</w:t>
            </w:r>
          </w:p>
        </w:tc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3△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外隐斜（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±3△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）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外隐斜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&gt;10△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或内隐斜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&gt;4△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集合不足常见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AC/A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（梯度法）</w:t>
            </w:r>
          </w:p>
        </w:tc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3 ~ 5 △/D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&lt;3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或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&gt;6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高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AC/A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常伴看近内隐斜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集合近点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NPC</w:t>
            </w:r>
          </w:p>
        </w:tc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破裂点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≤5~6cm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，恢复点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≤7cm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破裂点 &gt;10cm 提示集合不足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结合近距外隐斜判断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调节幅度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AMP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（推进法）</w:t>
            </w:r>
          </w:p>
        </w:tc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最小估计值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= 15 - 0.25×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年龄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实测低于最小值 2D 以上 → 调节不足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Hofstetter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公式；单眼测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调节灵敏度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Flipper</w:t>
            </w:r>
          </w:p>
        </w:tc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单眼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≥11 cpm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；双眼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≥8 cpm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±2.00D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）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明显低于上述值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低于参考常伴阅读疲劳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NRA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（负相对调节）</w:t>
            </w:r>
          </w:p>
        </w:tc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+1.75 ~ +2.50D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&lt;+1.50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或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&gt;+2.50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过低提示调节紧张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痉挛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PRA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（正相对调节）</w:t>
            </w:r>
          </w:p>
        </w:tc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-1.50 ~ -3.50D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低于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-1.50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偏低提示调节不足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BCC / FCC</w:t>
            </w:r>
          </w:p>
        </w:tc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+0.25 ~ +0.75D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&lt;0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提示调节超前；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&gt;+0.75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提示调节滞后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调节滞后与近视进展相关（宣教用，非因果）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融像性聚散（远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BI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）</w:t>
            </w:r>
          </w:p>
        </w:tc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模糊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5~9△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破裂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15~23△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恢复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10~16△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明显低于上述范围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不同设备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方法差异大，以手册为准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融像性聚散（远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BO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）</w:t>
            </w:r>
          </w:p>
        </w:tc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模糊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7~11△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破裂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15~25△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恢复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9~15△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明显低于上述范围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结合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Sheard / Percival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准则评估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立体视（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Titmus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苍蝇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圆圈）</w:t>
            </w:r>
          </w:p>
        </w:tc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≤60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弧秒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60~100"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偏低；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&gt;100" 或无法完成 → 排查斜视 / 弱视 / 抑制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儿童务必检查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Worth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四点</w:t>
            </w:r>
          </w:p>
        </w:tc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看到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4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个点（双眼同时视）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看到 2 或 3 个点 → 存在单眼抑制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意义与斜视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弱视相关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眼位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遮盖试验</w:t>
            </w:r>
          </w:p>
        </w:tc>
        <w:tc>
          <w:tcPr>
            <w:tcW w:type="pct" w:w="12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正位，无显斜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任何显性斜视 → 转诊</w:t>
            </w:r>
          </w:p>
        </w:tc>
        <w:tc>
          <w:tcPr>
            <w:tcW w:type="pct" w:w="13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儿童斜视需尽早到爱眼城眼科评估</w:t>
            </w:r>
          </w:p>
        </w:tc>
      </w:tr>
    </w:tbl>
    <w:p>
      <w:pPr>
        <w:spacing w:line="384" w:lineRule="auto" w:before="63" w:after="90"/>
        <w:jc w:val="left"/>
        <w:shd w:val="clear" w:color="auto" w:fill="F5F7FA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通俗讲法（双眼视）：</w:t>
      </w:r>
      <w:r>
        <w:rPr>
          <w:rFonts w:ascii="微软雅黑" w:hAnsi="微软雅黑"/>
          <w:color w:val="212121"/>
          <w:sz w:val="18"/>
        </w:rPr>
        <w:t>“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看东西不是一只眼的事，是两只眼睛像两台相机同时拍，再由大脑合成一张图。这两台相机要</w:t>
      </w:r>
      <w:r>
        <w:rPr>
          <w:rFonts w:ascii="微软雅黑" w:hAnsi="微软雅黑"/>
          <w:color w:val="212121"/>
          <w:sz w:val="18"/>
        </w:rPr>
        <w:t>‘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对得齐</w:t>
      </w:r>
      <w:r>
        <w:rPr>
          <w:rFonts w:ascii="微软雅黑" w:hAnsi="微软雅黑"/>
          <w:color w:val="212121"/>
          <w:sz w:val="18"/>
        </w:rPr>
        <w:t>’‘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调得动</w:t>
      </w:r>
      <w:r>
        <w:rPr>
          <w:rFonts w:ascii="微软雅黑" w:hAnsi="微软雅黑"/>
          <w:color w:val="212121"/>
          <w:sz w:val="18"/>
        </w:rPr>
        <w:t>’‘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合得起来</w:t>
      </w:r>
      <w:r>
        <w:rPr>
          <w:rFonts w:ascii="微软雅黑" w:hAnsi="微软雅黑"/>
          <w:color w:val="212121"/>
          <w:sz w:val="18"/>
        </w:rPr>
        <w:t>’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，哪一项弱了，人就容易头疼、串行、看久了酸胀。我们现在测的就是这三项能力。</w:t>
      </w:r>
      <w:r>
        <w:rPr>
          <w:rFonts w:ascii="微软雅黑" w:hAnsi="微软雅黑"/>
          <w:color w:val="212121"/>
          <w:sz w:val="18"/>
        </w:rPr>
        <w:t>”</w:t>
      </w:r>
    </w:p>
    <w:p>
      <w:bookmarkStart w:id="19" w:name="_Toc_section_6"/>
      <w:bookmarkStart w:id="5" w:name="section-6"/>
      <w:pPr>
        <w:pStyle w:val="Heading2"/>
        <w:spacing w:line="312" w:lineRule="auto"/>
        <w:jc w:val="left"/>
        <w:pBdr>
          <w:bottom w:val="single" w:sz="8" w:space="0" w:color="E0E0E0"/>
        </w:pBdr>
      </w:pPr>
      <w:bookmarkEnd w:id="5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五、眼前节、晶状体与干眼相关</w:t>
      </w:r>
      <w:bookmarkEnd w:id="19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2074"/>
        <w:gridCol w:w="2074"/>
        <w:gridCol w:w="2765"/>
      </w:tblGrid>
      <w:tr>
        <w:tc>
          <w:tcPr>
            <w:tcW w:type="pct" w:w="10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项目</w:t>
            </w:r>
          </w:p>
        </w:tc>
        <w:tc>
          <w:tcPr>
            <w:tcW w:type="pct" w:w="12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正常</w:t>
            </w:r>
          </w:p>
        </w:tc>
        <w:tc>
          <w:tcPr>
            <w:tcW w:type="pct" w:w="12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关注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异常</w:t>
            </w:r>
          </w:p>
        </w:tc>
        <w:tc>
          <w:tcPr>
            <w:tcW w:type="pct" w:w="16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备注</w:t>
            </w:r>
          </w:p>
        </w:tc>
      </w:tr>
      <w:tr>
        <w:tc>
          <w:tcPr>
            <w:tcW w:type="pct" w:w="10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泪膜破裂时间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BUT</w:t>
            </w:r>
          </w:p>
        </w:tc>
        <w:tc>
          <w:tcPr>
            <w:tcW w:type="pct" w:w="12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≥10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秒</w:t>
            </w:r>
          </w:p>
        </w:tc>
        <w:tc>
          <w:tcPr>
            <w:tcW w:type="pct" w:w="12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5~10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秒（干眼倾向）；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&lt;5 秒（明显异常）</w:t>
            </w:r>
          </w:p>
        </w:tc>
        <w:tc>
          <w:tcPr>
            <w:tcW w:type="pct" w:w="16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最常见干眼筛查项</w:t>
            </w:r>
          </w:p>
        </w:tc>
      </w:tr>
      <w:tr>
        <w:tc>
          <w:tcPr>
            <w:tcW w:type="pct" w:w="10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泪液分泌试验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Schirmer I</w:t>
            </w:r>
          </w:p>
        </w:tc>
        <w:tc>
          <w:tcPr>
            <w:tcW w:type="pct" w:w="12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≥10mm/5min</w:t>
            </w:r>
          </w:p>
        </w:tc>
        <w:tc>
          <w:tcPr>
            <w:tcW w:type="pct" w:w="12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5~10mm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（干眼倾向）；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≤5mm（明显异常）</w:t>
            </w:r>
          </w:p>
        </w:tc>
        <w:tc>
          <w:tcPr>
            <w:tcW w:type="pct" w:w="16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无表麻条件下测</w:t>
            </w:r>
          </w:p>
        </w:tc>
      </w:tr>
      <w:tr>
        <w:tc>
          <w:tcPr>
            <w:tcW w:type="pct" w:w="10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角膜荧光素染色</w:t>
            </w:r>
          </w:p>
        </w:tc>
        <w:tc>
          <w:tcPr>
            <w:tcW w:type="pct" w:w="12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无着染或偶见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1-2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点</w:t>
            </w:r>
          </w:p>
        </w:tc>
        <w:tc>
          <w:tcPr>
            <w:tcW w:type="pct" w:w="12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&gt;5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个点状着染或融合成片</w:t>
            </w:r>
          </w:p>
        </w:tc>
        <w:tc>
          <w:tcPr>
            <w:tcW w:type="pct" w:w="16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结合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BUT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综合判断</w:t>
            </w:r>
          </w:p>
        </w:tc>
      </w:tr>
      <w:tr>
        <w:tc>
          <w:tcPr>
            <w:tcW w:type="pct" w:w="10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睑板腺形态</w:t>
            </w:r>
          </w:p>
        </w:tc>
        <w:tc>
          <w:tcPr>
            <w:tcW w:type="pct" w:w="12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腺体结构清晰，缺失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&lt;1/3</w:t>
            </w:r>
          </w:p>
        </w:tc>
        <w:tc>
          <w:tcPr>
            <w:tcW w:type="pct" w:w="12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缺失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1/3~1/2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&gt;1/2 明显异常</w:t>
            </w:r>
          </w:p>
        </w:tc>
        <w:tc>
          <w:tcPr>
            <w:tcW w:type="pct" w:w="16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与干眼、睑缘炎相关</w:t>
            </w:r>
          </w:p>
        </w:tc>
      </w:tr>
      <w:tr>
        <w:tc>
          <w:tcPr>
            <w:tcW w:type="pct" w:w="10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晶状体透明度</w:t>
            </w:r>
          </w:p>
        </w:tc>
        <w:tc>
          <w:tcPr>
            <w:tcW w:type="pct" w:w="12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透明</w:t>
            </w:r>
          </w:p>
        </w:tc>
        <w:tc>
          <w:tcPr>
            <w:tcW w:type="pct" w:w="12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皮质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核轻度混浊</w:t>
            </w:r>
          </w:p>
        </w:tc>
        <w:tc>
          <w:tcPr>
            <w:tcW w:type="pct" w:w="16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明显混浊影响视力 → 转诊到爱眼城眼科评估</w:t>
            </w:r>
          </w:p>
        </w:tc>
      </w:tr>
      <w:tr>
        <w:tc>
          <w:tcPr>
            <w:tcW w:type="pct" w:w="10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眼前节（结膜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角膜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房水）</w:t>
            </w:r>
          </w:p>
        </w:tc>
        <w:tc>
          <w:tcPr>
            <w:tcW w:type="pct" w:w="12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无充血、透明、房水清</w:t>
            </w:r>
          </w:p>
        </w:tc>
        <w:tc>
          <w:tcPr>
            <w:tcW w:type="pct" w:w="12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充血、分泌物、角膜白斑、房水闪辉</w:t>
            </w:r>
          </w:p>
        </w:tc>
        <w:tc>
          <w:tcPr>
            <w:tcW w:type="pct" w:w="16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急性红痛 + 视力下降 → 立即就医</w:t>
            </w:r>
          </w:p>
        </w:tc>
      </w:tr>
      <w:tr>
        <w:tc>
          <w:tcPr>
            <w:tcW w:type="pct" w:w="10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瞳孔与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RAPD</w:t>
            </w:r>
          </w:p>
        </w:tc>
        <w:tc>
          <w:tcPr>
            <w:tcW w:type="pct" w:w="12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等大等圆，直径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2.5-4mm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，对光反应灵敏</w:t>
            </w:r>
          </w:p>
        </w:tc>
        <w:tc>
          <w:tcPr>
            <w:tcW w:type="pct" w:w="12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不等大、反应迟钝、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RAPD 阳性</w:t>
            </w:r>
          </w:p>
        </w:tc>
        <w:tc>
          <w:tcPr>
            <w:tcW w:type="pct" w:w="16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RAPD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阳性提示视神经或视网膜病变，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必须转诊</w:t>
            </w:r>
          </w:p>
        </w:tc>
      </w:tr>
      <w:tr>
        <w:tc>
          <w:tcPr>
            <w:tcW w:type="pct" w:w="10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玻璃体</w:t>
            </w:r>
          </w:p>
        </w:tc>
        <w:tc>
          <w:tcPr>
            <w:tcW w:type="pct" w:w="12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透明或轻度飞蚊（长期稳定）</w:t>
            </w:r>
          </w:p>
        </w:tc>
        <w:tc>
          <w:tcPr>
            <w:tcW w:type="pct" w:w="12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突然增多、伴闪光感、幕样遮挡 → 急诊</w:t>
            </w:r>
          </w:p>
        </w:tc>
        <w:tc>
          <w:tcPr>
            <w:tcW w:type="pct" w:w="16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飞蚊突然变化是视网膜脱离预警</w:t>
            </w:r>
          </w:p>
        </w:tc>
      </w:tr>
      <w:tr>
        <w:tc>
          <w:tcPr>
            <w:tcW w:type="pct" w:w="10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色觉</w:t>
            </w:r>
          </w:p>
        </w:tc>
        <w:tc>
          <w:tcPr>
            <w:tcW w:type="pct" w:w="12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正常</w:t>
            </w:r>
          </w:p>
        </w:tc>
        <w:tc>
          <w:tcPr>
            <w:tcW w:type="pct" w:w="12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色弱（多为先天）</w:t>
            </w:r>
          </w:p>
        </w:tc>
        <w:tc>
          <w:tcPr>
            <w:tcW w:type="pct" w:w="16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后天色觉改变需就医</w:t>
            </w:r>
          </w:p>
        </w:tc>
      </w:tr>
      <w:tr>
        <w:tc>
          <w:tcPr>
            <w:tcW w:type="pct" w:w="10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前房深度（浅前房）</w:t>
            </w:r>
          </w:p>
        </w:tc>
        <w:tc>
          <w:tcPr>
            <w:tcW w:type="pct" w:w="12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正常，房角开放</w:t>
            </w:r>
          </w:p>
        </w:tc>
        <w:tc>
          <w:tcPr>
            <w:tcW w:type="pct" w:w="12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浅前房 + 眼胀痛、虹视 → 立即就医</w:t>
            </w:r>
          </w:p>
        </w:tc>
        <w:tc>
          <w:tcPr>
            <w:tcW w:type="pct" w:w="16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浅前房者禁自行散瞳，先转诊评估</w:t>
            </w:r>
          </w:p>
        </w:tc>
      </w:tr>
    </w:tbl>
    <w:p>
      <w:bookmarkStart w:id="20" w:name="_Toc_section_7"/>
      <w:bookmarkStart w:id="6" w:name="section-7"/>
      <w:pPr>
        <w:pStyle w:val="Heading2"/>
        <w:spacing w:line="312" w:lineRule="auto"/>
        <w:jc w:val="left"/>
        <w:pBdr>
          <w:bottom w:val="single" w:sz="8" w:space="0" w:color="E0E0E0"/>
        </w:pBdr>
      </w:pPr>
      <w:bookmarkEnd w:id="6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六、查表常见错误与纠正</w:t>
      </w:r>
      <w:bookmarkEnd w:id="20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592"/>
        <w:gridCol w:w="2678"/>
        <w:gridCol w:w="3370"/>
      </w:tblGrid>
      <w:tr>
        <w:tc>
          <w:tcPr>
            <w:tcW w:type="pct" w:w="15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常见错误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为什么错</w:t>
            </w:r>
          </w:p>
        </w:tc>
        <w:tc>
          <w:tcPr>
            <w:tcW w:type="pct" w:w="19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正确做法</w:t>
            </w:r>
          </w:p>
        </w:tc>
      </w:tr>
      <w:tr>
        <w:tc>
          <w:tcPr>
            <w:tcW w:type="pct" w:w="15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把电脑验光单直接当度数判异常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电脑验光偏倚大，尤其儿童</w:t>
            </w:r>
          </w:p>
        </w:tc>
        <w:tc>
          <w:tcPr>
            <w:tcW w:type="pct" w:w="19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以主觉验光结果为准；儿童以散瞳结果为准</w:t>
            </w:r>
          </w:p>
        </w:tc>
      </w:tr>
      <w:tr>
        <w:tc>
          <w:tcPr>
            <w:tcW w:type="pct" w:w="15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只看一次眼轴绝对值就下结论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个体差异大，绝对值意义有限</w:t>
            </w:r>
          </w:p>
        </w:tc>
        <w:tc>
          <w:tcPr>
            <w:tcW w:type="pct" w:w="19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看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年化增长速率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与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AL/CR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趋势</w:t>
            </w:r>
          </w:p>
        </w:tc>
      </w:tr>
      <w:tr>
        <w:tc>
          <w:tcPr>
            <w:tcW w:type="pct" w:w="15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戴隐形眼镜当天测曲率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地形图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角膜水肿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塑形导致假异常</w:t>
            </w:r>
          </w:p>
        </w:tc>
        <w:tc>
          <w:tcPr>
            <w:tcW w:type="pct" w:w="19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软镜停戴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≥1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周、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OK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镜停戴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≥3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周后复测</w:t>
            </w:r>
          </w:p>
        </w:tc>
      </w:tr>
      <w:tr>
        <w:tc>
          <w:tcPr>
            <w:tcW w:type="pct" w:w="15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用成人参考区间套儿童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儿童处于发育中，参考值随年龄变动</w:t>
            </w:r>
          </w:p>
        </w:tc>
        <w:tc>
          <w:tcPr>
            <w:tcW w:type="pct" w:w="19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儿童用儿童年龄对应表</w:t>
            </w:r>
          </w:p>
        </w:tc>
      </w:tr>
      <w:tr>
        <w:tc>
          <w:tcPr>
            <w:tcW w:type="pct" w:w="15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把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关注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档说成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没问题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安抚顾客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既失真又有风险</w:t>
            </w:r>
          </w:p>
        </w:tc>
        <w:tc>
          <w:tcPr>
            <w:tcW w:type="pct" w:w="19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如实告知档位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复查计划</w:t>
            </w:r>
          </w:p>
        </w:tc>
      </w:tr>
      <w:tr>
        <w:tc>
          <w:tcPr>
            <w:tcW w:type="pct" w:w="15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凭单一指标判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有病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筛查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≠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诊断</w:t>
            </w:r>
          </w:p>
        </w:tc>
        <w:tc>
          <w:tcPr>
            <w:tcW w:type="pct" w:w="19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组合判断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复查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转诊流程</w:t>
            </w:r>
          </w:p>
        </w:tc>
      </w:tr>
      <w:tr>
        <w:tc>
          <w:tcPr>
            <w:tcW w:type="pct" w:w="15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不同设备数值直接对比历史</w:t>
            </w:r>
          </w:p>
        </w:tc>
        <w:tc>
          <w:tcPr>
            <w:tcW w:type="pct" w:w="15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设备间存在系统差异</w:t>
            </w:r>
          </w:p>
        </w:tc>
        <w:tc>
          <w:tcPr>
            <w:tcW w:type="pct" w:w="19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同一台设备、同一条件下的前后对比才有意义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r>
              <w:rPr>
                <w:b/>
              </w:rPr>
              <w:t>本模块使用口令（员工背下来）：</w:t>
            </w:r>
            <w:r>
              <w:t>“</w:t>
            </w:r>
            <w:r>
              <w:t>先看全、再打档；</w:t>
            </w:r>
            <w:r>
              <w:rPr>
                <w:b/>
              </w:rPr>
              <w:t>拿不准就往重里判</w:t>
            </w:r>
            <w:r>
              <w:t>；</w:t>
            </w:r>
            <w:r>
              <w:rPr>
                <w:b/>
              </w:rPr>
              <w:t>两个相关项一起异常就转诊</w:t>
            </w:r>
            <w:r>
              <w:t>；</w:t>
            </w:r>
            <w:r>
              <w:rPr>
                <w:b/>
              </w:rPr>
              <w:t>儿童看增速，成人看病灶</w:t>
            </w:r>
            <w:r>
              <w:t>；任何超出门店能力的，一律落到爱眼城眼科的检查上。</w:t>
            </w:r>
            <w:r>
              <w:t>”</w:t>
            </w:r>
          </w:p>
        </w:tc>
      </w:tr>
    </w:tbl>
    <w:p>
      <w:bookmarkStart w:id="21" w:name="_Toc_section_8"/>
      <w:bookmarkStart w:id="7" w:name="section-8"/>
      <w:pPr>
        <w:pStyle w:val="Heading2"/>
        <w:spacing w:line="312" w:lineRule="auto"/>
        <w:jc w:val="left"/>
        <w:pBdr>
          <w:bottom w:val="single" w:sz="8" w:space="0" w:color="E0E0E0"/>
        </w:pBdr>
      </w:pPr>
      <w:bookmarkEnd w:id="7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七、异常值对照表怎么用（下篇）</w:t>
      </w:r>
      <w:bookmarkEnd w:id="21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605"/>
        <w:gridCol w:w="3715"/>
        <w:gridCol w:w="605"/>
        <w:gridCol w:w="3715"/>
      </w:tblGrid>
      <w:tr>
        <w:tc>
          <w:tcPr>
            <w:tcW w:type="pct" w:w="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序号</w:t>
            </w:r>
          </w:p>
        </w:tc>
        <w:tc>
          <w:tcPr>
            <w:tcW w:type="pct" w:w="2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异常条目</w:t>
            </w:r>
          </w:p>
        </w:tc>
        <w:tc>
          <w:tcPr>
            <w:tcW w:type="pct" w:w="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序号</w:t>
            </w:r>
          </w:p>
        </w:tc>
        <w:tc>
          <w:tcPr>
            <w:tcW w:type="pct" w:w="2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异常条目</w:t>
            </w:r>
          </w:p>
        </w:tc>
      </w:tr>
      <w:tr>
        <w:tc>
          <w:tcPr>
            <w:tcW w:type="pct" w:w="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1</w:t>
            </w:r>
          </w:p>
        </w:tc>
        <w:tc>
          <w:tcPr>
            <w:tcW w:type="pct" w:w="2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矫正视力不达标</w:t>
            </w:r>
          </w:p>
        </w:tc>
        <w:tc>
          <w:tcPr>
            <w:tcW w:type="pct" w:w="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2</w:t>
            </w:r>
          </w:p>
        </w:tc>
        <w:tc>
          <w:tcPr>
            <w:tcW w:type="pct" w:w="2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近视进展偏快</w:t>
            </w:r>
          </w:p>
        </w:tc>
      </w:tr>
      <w:tr>
        <w:tc>
          <w:tcPr>
            <w:tcW w:type="pct" w:w="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3</w:t>
            </w:r>
          </w:p>
        </w:tc>
        <w:tc>
          <w:tcPr>
            <w:tcW w:type="pct" w:w="2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远视储备不足</w:t>
            </w:r>
          </w:p>
        </w:tc>
        <w:tc>
          <w:tcPr>
            <w:tcW w:type="pct" w:w="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4</w:t>
            </w:r>
          </w:p>
        </w:tc>
        <w:tc>
          <w:tcPr>
            <w:tcW w:type="pct" w:w="2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散光偏大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快增</w:t>
            </w:r>
          </w:p>
        </w:tc>
      </w:tr>
      <w:tr>
        <w:tc>
          <w:tcPr>
            <w:tcW w:type="pct" w:w="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5</w:t>
            </w:r>
          </w:p>
        </w:tc>
        <w:tc>
          <w:tcPr>
            <w:tcW w:type="pct" w:w="2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屈光参差</w:t>
            </w:r>
          </w:p>
        </w:tc>
        <w:tc>
          <w:tcPr>
            <w:tcW w:type="pct" w:w="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6</w:t>
            </w:r>
          </w:p>
        </w:tc>
        <w:tc>
          <w:tcPr>
            <w:tcW w:type="pct" w:w="2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眼轴增长偏快</w:t>
            </w:r>
          </w:p>
        </w:tc>
      </w:tr>
      <w:tr>
        <w:tc>
          <w:tcPr>
            <w:tcW w:type="pct" w:w="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7</w:t>
            </w:r>
          </w:p>
        </w:tc>
        <w:tc>
          <w:tcPr>
            <w:tcW w:type="pct" w:w="2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角膜曲率异常</w:t>
            </w:r>
          </w:p>
        </w:tc>
        <w:tc>
          <w:tcPr>
            <w:tcW w:type="pct" w:w="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8</w:t>
            </w:r>
          </w:p>
        </w:tc>
        <w:tc>
          <w:tcPr>
            <w:tcW w:type="pct" w:w="2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调节异常</w:t>
            </w:r>
          </w:p>
        </w:tc>
      </w:tr>
      <w:tr>
        <w:tc>
          <w:tcPr>
            <w:tcW w:type="pct" w:w="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9</w:t>
            </w:r>
          </w:p>
        </w:tc>
        <w:tc>
          <w:tcPr>
            <w:tcW w:type="pct" w:w="2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集合不足</w:t>
            </w:r>
          </w:p>
        </w:tc>
        <w:tc>
          <w:tcPr>
            <w:tcW w:type="pct" w:w="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10</w:t>
            </w:r>
          </w:p>
        </w:tc>
        <w:tc>
          <w:tcPr>
            <w:tcW w:type="pct" w:w="2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内隐斜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高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AC/A</w:t>
            </w:r>
          </w:p>
        </w:tc>
      </w:tr>
      <w:tr>
        <w:tc>
          <w:tcPr>
            <w:tcW w:type="pct" w:w="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11</w:t>
            </w:r>
          </w:p>
        </w:tc>
        <w:tc>
          <w:tcPr>
            <w:tcW w:type="pct" w:w="2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干眼指标异常</w:t>
            </w:r>
          </w:p>
        </w:tc>
        <w:tc>
          <w:tcPr>
            <w:tcW w:type="pct" w:w="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12</w:t>
            </w:r>
          </w:p>
        </w:tc>
        <w:tc>
          <w:tcPr>
            <w:tcW w:type="pct" w:w="2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晶状体混浊</w:t>
            </w:r>
          </w:p>
        </w:tc>
      </w:tr>
      <w:tr>
        <w:tc>
          <w:tcPr>
            <w:tcW w:type="pct" w:w="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13</w:t>
            </w:r>
          </w:p>
        </w:tc>
        <w:tc>
          <w:tcPr>
            <w:tcW w:type="pct" w:w="2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看近困难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老视</w:t>
            </w:r>
          </w:p>
        </w:tc>
        <w:tc>
          <w:tcPr>
            <w:tcW w:type="pct" w:w="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14</w:t>
            </w:r>
          </w:p>
        </w:tc>
        <w:tc>
          <w:tcPr>
            <w:tcW w:type="pct" w:w="2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双眼视功能异常</w:t>
            </w:r>
          </w:p>
        </w:tc>
      </w:tr>
      <w:tr>
        <w:tc>
          <w:tcPr>
            <w:tcW w:type="pct" w:w="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15</w:t>
            </w:r>
          </w:p>
        </w:tc>
        <w:tc>
          <w:tcPr>
            <w:tcW w:type="pct" w:w="2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儿童斜视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弱视风险</w:t>
            </w:r>
          </w:p>
        </w:tc>
        <w:tc>
          <w:tcPr>
            <w:tcW w:type="pct" w:w="3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16</w:t>
            </w:r>
          </w:p>
        </w:tc>
        <w:tc>
          <w:tcPr>
            <w:tcW w:type="pct" w:w="215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急性症状</w:t>
            </w:r>
          </w:p>
        </w:tc>
      </w:tr>
    </w:tbl>
    <w:p>
      <w:pPr>
        <w:spacing w:line="384" w:lineRule="auto" w:before="63" w:after="90"/>
        <w:jc w:val="left"/>
        <w:shd w:val="clear" w:color="auto" w:fill="F5F7FA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使用三步法：</w:t>
      </w:r>
      <w:r>
        <w:rPr>
          <w:rFonts w:ascii="微软雅黑" w:hAnsi="微软雅黑"/>
          <w:color w:val="212121"/>
          <w:sz w:val="18"/>
        </w:rPr>
        <w:t xml:space="preserve">①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在上篇查到</w:t>
      </w:r>
      <w:r>
        <w:rPr>
          <w:rFonts w:ascii="微软雅黑" w:hAnsi="微软雅黑"/>
          <w:color w:val="212121"/>
          <w:sz w:val="18"/>
        </w:rPr>
        <w:t>“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关注</w:t>
      </w:r>
      <w:r>
        <w:rPr>
          <w:rFonts w:ascii="微软雅黑" w:hAnsi="微软雅黑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异常</w:t>
      </w:r>
      <w:r>
        <w:rPr>
          <w:rFonts w:ascii="微软雅黑" w:hAnsi="微软雅黑"/>
          <w:color w:val="212121"/>
          <w:sz w:val="18"/>
        </w:rPr>
        <w:t>”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项</w:t>
      </w:r>
      <w:r>
        <w:rPr>
          <w:rFonts w:ascii="微软雅黑" w:hAnsi="微软雅黑"/>
          <w:color w:val="212121"/>
          <w:sz w:val="18"/>
        </w:rPr>
        <w:t xml:space="preserve"> → ②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在本模块找到对应条目，重点读</w:t>
      </w:r>
      <w:r>
        <w:rPr>
          <w:rFonts w:ascii="微软雅黑" w:hAnsi="微软雅黑"/>
          <w:color w:val="212121"/>
          <w:sz w:val="18"/>
        </w:rPr>
        <w:t>“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可能原因</w:t>
      </w:r>
      <w:r>
        <w:rPr>
          <w:rFonts w:ascii="微软雅黑" w:hAnsi="微软雅黑"/>
          <w:color w:val="212121"/>
          <w:sz w:val="18"/>
        </w:rPr>
        <w:t>”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和</w:t>
      </w:r>
      <w:r>
        <w:rPr>
          <w:rFonts w:ascii="微软雅黑" w:hAnsi="微软雅黑"/>
          <w:color w:val="212121"/>
          <w:sz w:val="18"/>
        </w:rPr>
        <w:t>“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潜在影响</w:t>
      </w:r>
      <w:r>
        <w:rPr>
          <w:rFonts w:ascii="微软雅黑" w:hAnsi="微软雅黑"/>
          <w:color w:val="212121"/>
          <w:sz w:val="18"/>
        </w:rPr>
        <w:t>”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（就是你要对顾客讲的内容）</w:t>
      </w:r>
      <w:r>
        <w:rPr>
          <w:rFonts w:ascii="微软雅黑" w:hAnsi="微软雅黑"/>
          <w:color w:val="212121"/>
          <w:sz w:val="18"/>
        </w:rPr>
        <w:t xml:space="preserve">→ ③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照</w:t>
      </w:r>
      <w:r>
        <w:rPr>
          <w:rFonts w:ascii="微软雅黑" w:hAnsi="微软雅黑"/>
          <w:color w:val="212121"/>
          <w:sz w:val="18"/>
        </w:rPr>
        <w:t>“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应对对策</w:t>
      </w:r>
      <w:r>
        <w:rPr>
          <w:rFonts w:ascii="微软雅黑" w:hAnsi="微软雅黑"/>
          <w:color w:val="212121"/>
          <w:sz w:val="18"/>
        </w:rPr>
        <w:t>”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落方案、写建议书。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原因只讲最贴切的一两条，切忌照表全念。</w:t>
      </w:r>
    </w:p>
    <w:p>
      <w:bookmarkStart w:id="22" w:name="_Toc_section_9"/>
      <w:bookmarkStart w:id="8" w:name="section-9"/>
      <w:pPr>
        <w:pStyle w:val="Heading2"/>
        <w:spacing w:line="312" w:lineRule="auto"/>
        <w:jc w:val="left"/>
        <w:pBdr>
          <w:bottom w:val="single" w:sz="8" w:space="0" w:color="E0E0E0"/>
        </w:pBdr>
      </w:pPr>
      <w:bookmarkEnd w:id="8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八、屈光与视力类</w:t>
      </w:r>
      <w:bookmarkEnd w:id="22"/>
    </w:p>
    <w:p>
      <w:pPr>
        <w:spacing w:line="384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以下</w:t>
      </w:r>
      <w:r>
        <w:rPr>
          <w:rFonts w:ascii="微软雅黑" w:hAnsi="微软雅黑"/>
          <w:color w:val="212121"/>
          <w:sz w:val="18"/>
        </w:rPr>
        <w:t xml:space="preserve"> 5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条覆盖屈光与视力类高频异常，逐条给出可能原因、潜在影响、应对对策与话术要点，照表取用即可。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 xml:space="preserve">01. 矫正视力不达标（足矫后仍 ＜0.8，或低于同龄下限） </w:t>
      </w:r>
      <w:r>
        <w:rPr>
          <w:rFonts w:ascii="微软雅黑" w:hAnsi="微软雅黑" w:eastAsia="微软雅黑" w:cs="微软雅黑" w:hint="eastAsia"/>
          <w:b/>
          <w:color w:val="C62828"/>
          <w:sz w:val="20"/>
          <w:lang w:eastAsia="zh-CN"/>
        </w:rPr>
        <w:t>（需转诊）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分析维度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可能原因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未足矫或验光不准；弱视（儿童）；屈光介质混浊（白内障等）；视神经病变；不规则散光（圆锥角膜等）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潜在影响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看东西长期模糊，儿童可造成弱视发育停滞；成年人影响驾驶、职业与日常安全；可能掩盖眼病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应对对策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①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核对验光是否足矫（重测）；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②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儿童必须做散瞳验光并评估注视性质；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③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排除弱视（儿童）、屈光介质混浊（成人）等常见原因后仍不达标者，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转诊到爱眼城眼科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做进一步检查（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OCT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VEP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、眼部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B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超等）；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④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记录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转诊提示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并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72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小时回访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话术要点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戴上最合适的眼镜还是达不到清晰水平，说明不只是度数问题，需要到爱眼城眼科查清楚。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</w:p>
        </w:tc>
      </w:tr>
    </w:tbl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 xml:space="preserve">02. 近视度数增长偏快（＞1.00D/年 或半年＞0.50D） </w:t>
      </w:r>
      <w:r>
        <w:rPr>
          <w:rFonts w:ascii="微软雅黑" w:hAnsi="微软雅黑" w:eastAsia="微软雅黑" w:cs="微软雅黑" w:hint="eastAsia"/>
          <w:b/>
          <w:color w:val="E65100"/>
          <w:sz w:val="20"/>
          <w:lang w:eastAsia="zh-CN"/>
        </w:rPr>
        <w:t>（视情况）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分析维度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可能原因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近距离用眼时间过长、户外时间严重不足；读写距离过近；矫正方式不当（欠矫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过矫）；生长发育高峰；家族高度近视史；配戴不合适或已磨损的眼镜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潜在影响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中短期：频繁换镜、镜片加厚、生活不便；长期：向高度近视发展，成年后眼部并发症风险上升（视网膜脱离、黄斑病变、青光眼风险增加）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应对对策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①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核实配戴记录与戴镜时长（镜架歪了、镜片花了）；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②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评估并调整矫正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控制方案（离焦镜、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OK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镜等，须由医师评估适应证与禁忌证）；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③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行为干预：每天户外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≥2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小时、近距离用眼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30-40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分钟休息、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一尺一拳一寸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④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3 个月复查（查眼轴）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，不等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看不清了再来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⑤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增速显著偏快者，到爱眼城眼科评估是否需要医疗干预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话术要点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问题不在度数本身，在速度。我们要做的第一步是把这条上升的线压平。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</w:p>
        </w:tc>
      </w:tr>
    </w:tbl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 xml:space="preserve">03. 远视储备低于同龄下限 / 提前消耗 </w:t>
      </w:r>
      <w:r>
        <w:rPr>
          <w:rFonts w:ascii="微软雅黑" w:hAnsi="微软雅黑" w:eastAsia="微软雅黑" w:cs="微软雅黑" w:hint="eastAsia"/>
          <w:b/>
          <w:color w:val="2E7D32"/>
          <w:sz w:val="20"/>
          <w:lang w:eastAsia="zh-CN"/>
        </w:rPr>
        <w:t>（门店可管）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分析维度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可能原因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户外时间不足；近距离用眼过早过多；学业压力大睡眠不足；父母高度近视的遗传背景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潜在影响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未来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1-2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年内发生近视的概率明显升高；一旦进入近视，进展往往更快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应对对策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①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立即启动预防：每天户外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≥2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小时（最关键的一条）；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②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控制单次近距离用眼时长；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③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建立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每 3-6 个月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的屈光发育档案（查眼轴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曲率）；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④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不必戴镜，但也不宜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观察一段时间再说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⑤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告知家长：储备是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用一点少一点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，早介入最省力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话术要点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还没有近视，但账户里的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‘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余额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’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不多了。现在不用配镜，但要把户外时间加回来。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</w:p>
        </w:tc>
      </w:tr>
    </w:tbl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 xml:space="preserve">04. 散光度数偏大（＞2.00D）或快速增加（＞1.00D/年） </w:t>
      </w:r>
      <w:r>
        <w:rPr>
          <w:rFonts w:ascii="微软雅黑" w:hAnsi="微软雅黑" w:eastAsia="微软雅黑" w:cs="微软雅黑" w:hint="eastAsia"/>
          <w:b/>
          <w:color w:val="E65100"/>
          <w:sz w:val="20"/>
          <w:lang w:eastAsia="zh-CN"/>
        </w:rPr>
        <w:t>（需排查）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分析维度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可能原因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先天角膜形态；眼睑压迫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揉眼习惯；圆锥角膜早期；外伤或角膜病变后；晶状体散光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潜在影响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未矫正时视物重影、眯眼、头痛、夜间视力差；儿童大散光伴屈光参差可致弱视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应对对策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①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必须给足散光矫正（尤其儿童）；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②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做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角膜地形图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检查确认形态；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③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若角膜曲率＞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47D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、角膜散光＞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2.00D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或不规则、地形图偏心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下方陡峭、或散光度数持续快速增加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→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转诊排查圆锥角膜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；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④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宣教：避免用力揉眼，规范治疗过敏性眼病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话术要点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这个散光不算低，而且比上次有变化。我们先做一个角膜地形图，把形状看清楚。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</w:p>
        </w:tc>
      </w:tr>
    </w:tbl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 xml:space="preserve">05. 屈光参差（球镜差≥1.50D 或柱镜差≥1.00D；儿童≥1.00D 即关注） </w:t>
      </w:r>
      <w:r>
        <w:rPr>
          <w:rFonts w:ascii="微软雅黑" w:hAnsi="微软雅黑" w:eastAsia="微软雅黑" w:cs="微软雅黑" w:hint="eastAsia"/>
          <w:b/>
          <w:color w:val="E65100"/>
          <w:sz w:val="20"/>
          <w:lang w:eastAsia="zh-CN"/>
        </w:rPr>
        <w:t>（视情况）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分析维度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可能原因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双眼发育不同步；长时间侧躺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歪头看东西；单眼视力长期被忽略；外伤或手术史；单眼眼病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潜在影响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双眼成像大小不等导致融合困难；易出现视疲劳、立体感差；儿童可发展为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弱视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；配镜适应困难（头晕、地面起伏感）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应对对策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①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全矫并坚持常戴（儿童尤其不能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省着戴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②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儿童必须检查眼位、立体视、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Worth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四点；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③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已存在视力差者，评估遮盖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弱视训练，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转诊到爱眼城眼科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由医生制定方案；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④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框架不耐受时可评估接触镜（需医师评估）；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⑤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每 3-6 个月复查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，儿童缩短周期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话术要点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两只眼度数差得多，大脑合成一张图就比较费劲。这个不能拖，越早处理越容易。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</w:p>
        </w:tc>
      </w:tr>
    </w:tbl>
    <w:p>
      <w:bookmarkStart w:id="23" w:name="_Toc_section_10"/>
      <w:bookmarkStart w:id="9" w:name="section-10"/>
      <w:pPr>
        <w:pStyle w:val="Heading2"/>
        <w:spacing w:line="312" w:lineRule="auto"/>
        <w:jc w:val="left"/>
        <w:pBdr>
          <w:bottom w:val="single" w:sz="8" w:space="0" w:color="E0E0E0"/>
        </w:pBdr>
      </w:pPr>
      <w:bookmarkEnd w:id="9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九、眼轴与角膜类</w:t>
      </w:r>
      <w:bookmarkEnd w:id="23"/>
    </w:p>
    <w:p>
      <w:pPr>
        <w:spacing w:line="384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以下</w:t>
      </w:r>
      <w:r>
        <w:rPr>
          <w:rFonts w:ascii="微软雅黑" w:hAnsi="微软雅黑"/>
          <w:color w:val="212121"/>
          <w:sz w:val="18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条覆盖眼轴与角膜类异常，判读以</w:t>
      </w:r>
      <w:r>
        <w:rPr>
          <w:rFonts w:ascii="微软雅黑" w:hAnsi="微软雅黑"/>
          <w:color w:val="212121"/>
          <w:sz w:val="18"/>
        </w:rPr>
        <w:t>“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趋势</w:t>
      </w:r>
      <w:r>
        <w:rPr>
          <w:rFonts w:ascii="微软雅黑" w:hAnsi="微软雅黑"/>
          <w:color w:val="212121"/>
          <w:sz w:val="18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形态</w:t>
      </w:r>
      <w:r>
        <w:rPr>
          <w:rFonts w:ascii="微软雅黑" w:hAnsi="微软雅黑"/>
          <w:color w:val="212121"/>
          <w:sz w:val="18"/>
        </w:rPr>
        <w:t>”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为准，必要时转诊排查圆锥角膜。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 xml:space="preserve">06. 眼轴年增长偏快（＞0.30mm/年；已近视儿童＞0.40mm 为控制不佳） </w:t>
      </w:r>
      <w:r>
        <w:rPr>
          <w:rFonts w:ascii="微软雅黑" w:hAnsi="微软雅黑" w:eastAsia="微软雅黑" w:cs="微软雅黑" w:hint="eastAsia"/>
          <w:b/>
          <w:color w:val="E65100"/>
          <w:sz w:val="20"/>
          <w:lang w:eastAsia="zh-CN"/>
        </w:rPr>
        <w:t>（视情况）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分析维度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可能原因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近距离用眼负荷过重；户外活动不足；现有控制措施效果不佳或依从性差（戴镜时间不足、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OK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镜停戴）；处于生长高峰期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潜在影响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眼轴每增长约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1mm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，近视度数大致增加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250-300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度（个体差异存在）；眼轴越长，成年后眼部并发症风险越高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应对对策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①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确认戴镜时长与依从性（这是最常见原因）；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②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重新评估并调整控制方案（换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叠加措施须专业评估）；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③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强化行为干预并检查落实情况；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④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缩短复查周期至 3 个月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，用眼轴数据说话；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⑤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控制不佳者建议到爱眼城眼科评估其他干预方式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话术要点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这半年眼轴长了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0.25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，换算成度数大概六七十度。我们要看看是戴的时间不够，还是方法要换。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</w:p>
        </w:tc>
      </w:tr>
    </w:tbl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 xml:space="preserve">07. 角膜曲率异常（K＞47D 或＜38D、双眼差＞1.00D、角膜散光＞2.00D 或不规则） </w:t>
      </w:r>
      <w:r>
        <w:rPr>
          <w:rFonts w:ascii="微软雅黑" w:hAnsi="微软雅黑" w:eastAsia="微软雅黑" w:cs="微软雅黑" w:hint="eastAsia"/>
          <w:b/>
          <w:color w:val="C62828"/>
          <w:sz w:val="20"/>
          <w:lang w:eastAsia="zh-CN"/>
        </w:rPr>
        <w:t>（需转诊）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分析维度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可能原因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圆锥角膜早期或进展期；角膜扩张性病变；先天扁平角膜；长期戴接触镜导致的角膜变形（需停戴复查）；角膜炎症后的瘢痕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潜在影响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不规则散光导致矫正视力难以提升；圆锥角膜进展可严重影响视力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应对对策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①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先排除测量因素：软性隐形眼镜停戴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≥1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周、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OK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镜停戴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≥3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周后复查；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②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做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角膜地形图 + 角膜厚度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确认；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③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符合上述数值或地形图可疑者，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立即转诊到爱眼城眼科进行角膜专科检查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；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④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不推销任何塑形镜或接触镜；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⑤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宣教：避免揉眼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话术要点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角膜的形状和平常不太一样，需要在爱眼城眼科做进一步的专科检查确认，这不是配眼镜能解决的事。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</w:p>
        </w:tc>
      </w:tr>
    </w:tbl>
    <w:p>
      <w:bookmarkStart w:id="24" w:name="_Toc_section_11"/>
      <w:bookmarkStart w:id="10" w:name="section-11"/>
      <w:pPr>
        <w:pStyle w:val="Heading2"/>
        <w:spacing w:line="312" w:lineRule="auto"/>
        <w:jc w:val="left"/>
        <w:pBdr>
          <w:bottom w:val="single" w:sz="8" w:space="0" w:color="E0E0E0"/>
        </w:pBdr>
      </w:pPr>
      <w:bookmarkEnd w:id="10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十、双眼视功能与干眼类</w:t>
      </w:r>
      <w:bookmarkEnd w:id="24"/>
    </w:p>
    <w:p>
      <w:pPr>
        <w:spacing w:line="384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以下</w:t>
      </w:r>
      <w:r>
        <w:rPr>
          <w:rFonts w:ascii="微软雅黑" w:hAnsi="微软雅黑"/>
          <w:color w:val="212121"/>
          <w:sz w:val="18"/>
        </w:rPr>
        <w:t xml:space="preserve"> 4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条覆盖双眼视功能与干眼类异常，多数可通过门店视觉训练与行为指导管理。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 xml:space="preserve">08. 调节相关异常（调节不足：AMP 低于年龄最小值 2D 以上；调节灵活度下降；调节滞后 BCC＞+0.75D） </w:t>
      </w:r>
      <w:r>
        <w:rPr>
          <w:rFonts w:ascii="微软雅黑" w:hAnsi="微软雅黑" w:eastAsia="微软雅黑" w:cs="微软雅黑" w:hint="eastAsia"/>
          <w:b/>
          <w:color w:val="2E7D32"/>
          <w:sz w:val="20"/>
          <w:lang w:eastAsia="zh-CN"/>
        </w:rPr>
        <w:t>（门店可管）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分析维度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可能原因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长时间近距离用眼导致睫状肌疲劳；年龄相关变化；全身疲劳、睡眠不足；某些药物影响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潜在影响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阅读不能持久、看远看近切换慢、看书串行跳字、眼酸胀头痛、作业效率下降；儿童可能表现为不想看书、注意力不集中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应对对策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①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首先排除屈光不正是否已经足矫并且常戴；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②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调整近距离工作方式（定时休息、距离、照明）；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③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评估是否需要近用附加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渐进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抗疲劳镜片；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④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符合条件者安排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视觉训练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（须有方案与复查评估）；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⑤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训练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6-8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周后复测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AMP / Flipper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看变化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话术要点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眼睛里负责调焦的小肌肉没力气了，所以看近一会儿就累。这个可以通过训练练回来。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</w:p>
        </w:tc>
      </w:tr>
    </w:tbl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 xml:space="preserve">09. 集合不足（NPC 破裂点＞10cm、近距外隐斜＞10△、BO 储备偏低） </w:t>
      </w:r>
      <w:r>
        <w:rPr>
          <w:rFonts w:ascii="微软雅黑" w:hAnsi="微软雅黑" w:eastAsia="微软雅黑" w:cs="微软雅黑" w:hint="eastAsia"/>
          <w:b/>
          <w:color w:val="2E7D32"/>
          <w:sz w:val="20"/>
          <w:lang w:eastAsia="zh-CN"/>
        </w:rPr>
        <w:t>（门店可管）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分析维度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可能原因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双眼向内协调能力不足；长时间近距离阅读；习惯性差集合；部分与未矫正的屈光不正有关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潜在影响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阅读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书写时字重叠、串行、跳字；眼胀头痛、困倦；儿童表现为阅读慢、抄写差、抗拒阅读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应对对策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①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先足矫屈光不正；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②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评估远近隐斜与融像储备；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③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视觉训练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（集合训练为主）是主流非手术手段，须按方案执行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8-12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周并复查；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④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必要时评估棱镜处方（需专业判断）；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⑤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配合阅读卫生（距离、休息、照明）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话术要点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两只眼睛往中间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‘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靠拢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’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的能力弱了，看书时大脑得一直硬撑，所以会累。这个训练效果好。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</w:p>
        </w:tc>
      </w:tr>
    </w:tbl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 xml:space="preserve">10. 内隐斜 / 高 AC/A（＞6△/D，看近明显内隐斜） </w:t>
      </w:r>
      <w:r>
        <w:rPr>
          <w:rFonts w:ascii="微软雅黑" w:hAnsi="微软雅黑" w:eastAsia="微软雅黑" w:cs="微软雅黑" w:hint="eastAsia"/>
          <w:b/>
          <w:color w:val="E65100"/>
          <w:sz w:val="20"/>
          <w:lang w:eastAsia="zh-CN"/>
        </w:rPr>
        <w:t>（视情况）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分析维度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可能原因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调节与集合联动过强；未矫正的中高度远视（儿童常见）；屈光不正长期欠矫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潜在影响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近距离工作易疲劳、重影；儿童可能出现间歇性内斜视，长期可影响双眼视发育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应对对策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①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必须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足矫远视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（儿童尤其重要，常需散瞳验光确认）；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②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评估近附加需求；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③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儿童伴显性斜视或斜视频繁者，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转诊到爱眼城眼科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评估是否需要手术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遮盖等；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④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定期复查眼位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话术要点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孩子看近的时候眼睛会往里跑，往往和远视没配够有关。第一步是把度数给足。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</w:p>
        </w:tc>
      </w:tr>
    </w:tbl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 xml:space="preserve">11. 干眼指标异常（BUT＜10 秒、Schirmer＜10mm/5min、睑板腺缺失＞1/3） </w:t>
      </w:r>
      <w:r>
        <w:rPr>
          <w:rFonts w:ascii="微软雅黑" w:hAnsi="微软雅黑" w:eastAsia="微软雅黑" w:cs="微软雅黑" w:hint="eastAsia"/>
          <w:b/>
          <w:color w:val="E65100"/>
          <w:sz w:val="20"/>
          <w:lang w:eastAsia="zh-CN"/>
        </w:rPr>
        <w:t>（视情况）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分析维度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可能原因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长时间盯屏幕导致眨眼减少；空调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干燥环境；睑板腺功能障碍；长时间戴隐形眼镜；年龄（尤其绝经期女性）；某些药物（抗过敏、抗抑郁、降压药）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潜在影响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眼干、异物感、烧灼、视物波动（眨眼后变清晰）、畏光、戴隐形眼镜不耐受；严重时影响角膜健康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应对对策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①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行为调整：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20-20-20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、主动眨眼、屏幕略低于视线、加湿、避免直吹空调；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②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合理使用湿房镜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防护镜、热敷；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③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人工泪液类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需遵从药师 / 医师建议，门店不做药品推荐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；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④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睑板腺功能障碍明显者转诊到爱眼城眼科；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⑤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隐形眼镜配戴者评估是否更换镜片类型或停戴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话术要点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眼睛表面那层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‘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保湿膜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’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不稳定，眨一次眼才清楚一下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——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这是典型的干眼信号。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</w:p>
        </w:tc>
      </w:tr>
    </w:tbl>
    <w:p>
      <w:bookmarkStart w:id="25" w:name="_Toc_section_12"/>
      <w:bookmarkStart w:id="11" w:name="section-12"/>
      <w:pPr>
        <w:pStyle w:val="Heading2"/>
        <w:spacing w:line="312" w:lineRule="auto"/>
        <w:jc w:val="left"/>
        <w:pBdr>
          <w:bottom w:val="single" w:sz="8" w:space="0" w:color="E0E0E0"/>
        </w:pBdr>
      </w:pPr>
      <w:bookmarkEnd w:id="11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十一、晶状体、老视与特殊类</w:t>
      </w:r>
      <w:bookmarkEnd w:id="25"/>
    </w:p>
    <w:p>
      <w:pPr>
        <w:spacing w:line="384" w:lineRule="auto"/>
        <w:jc w:val="left"/>
      </w:pP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以下</w:t>
      </w:r>
      <w:r>
        <w:rPr>
          <w:rFonts w:ascii="微软雅黑" w:hAnsi="微软雅黑"/>
          <w:color w:val="212121"/>
          <w:sz w:val="18"/>
        </w:rPr>
        <w:t xml:space="preserve"> 5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条覆盖晶状体、老视与特殊类情况，其中急性症状一律按急诊处理。</w:t>
      </w:r>
    </w:p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 xml:space="preserve">12. 晶状体混浊（裂隙灯下可见皮质 / 核 / 后囊混浊） </w:t>
      </w:r>
      <w:r>
        <w:rPr>
          <w:rFonts w:ascii="微软雅黑" w:hAnsi="微软雅黑" w:eastAsia="微软雅黑" w:cs="微软雅黑" w:hint="eastAsia"/>
          <w:b/>
          <w:color w:val="C62828"/>
          <w:sz w:val="20"/>
          <w:lang w:eastAsia="zh-CN"/>
        </w:rPr>
        <w:t>（需转诊）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分析维度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可能原因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年龄相关（最常见）；紫外线长期暴露；糖尿病；外伤；长期使用某些药物（如激素）；吸烟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潜在影响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渐进性无痛性视力下降、眩光、色觉变暗、夜间视力差；成熟期可引发并发症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应对对策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①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明确告知：门店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不能判断是否为白内障、更不能判断程度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，需由医生检查；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②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评估当前矫正视力对生活的影响；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③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转诊到爱眼城眼科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明确是否需要手术；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④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说明配镜只是暂时光学改善、不夸大；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⑤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建议每年复查；宣教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UV400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太阳镜、戒烟、控糖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话术要点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眼里的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‘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镜头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’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变浑浊了，这个需要到爱眼城眼科确认是不是到了要处理的程度。配镜能暂时提亮，但解决不了根本。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</w:p>
        </w:tc>
      </w:tr>
    </w:tbl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 xml:space="preserve">13. 看近困难 / 老视（45 岁后近视力下降、ADD 需 +1.00D 以上） </w:t>
      </w:r>
      <w:r>
        <w:rPr>
          <w:rFonts w:ascii="微软雅黑" w:hAnsi="微软雅黑" w:eastAsia="微软雅黑" w:cs="微软雅黑" w:hint="eastAsia"/>
          <w:b/>
          <w:color w:val="2E7D32"/>
          <w:sz w:val="20"/>
          <w:lang w:eastAsia="zh-CN"/>
        </w:rPr>
        <w:t>（门店可管）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分析维度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可能原因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年龄增长导致晶状体弹性下降、调节力衰退（生理现象，不是病）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潜在影响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看书报、手机、缝纫等近距离活动困难；强撑看近易疲劳，可能加重干眼与视疲劳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应对对策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①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明确这是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正常生理现象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，消除焦虑；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②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准确测定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ADD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（必须主觉验光，不可套年龄公式）；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③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按用眼场景选择：单光近用镜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双光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渐进多焦点（结合职业、驾车、中距离需求）；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④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渐进适应期说明（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1-2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周，下楼先看脚，开车需适应）；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⑤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每年复查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ADD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变化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话术要点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这不是眼睛坏了，是年龄到了每个人都有的变化，就像头发变白一样。解决办法很多，我们挑最适合您生活方式的。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</w:p>
        </w:tc>
      </w:tr>
    </w:tbl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 xml:space="preserve">14. 双眼视功能异常（立体视＞100"、Worth 四点见 2/3 点、明显斜位） </w:t>
      </w:r>
      <w:r>
        <w:rPr>
          <w:rFonts w:ascii="微软雅黑" w:hAnsi="微软雅黑" w:eastAsia="微软雅黑" w:cs="微软雅黑" w:hint="eastAsia"/>
          <w:b/>
          <w:color w:val="C62828"/>
          <w:sz w:val="20"/>
          <w:lang w:eastAsia="zh-CN"/>
        </w:rPr>
        <w:t>（需转诊）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分析维度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可能原因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未矫正的屈光参差；斜视；单眼抑制；弱视；黄斑或视神经病变；双眼融像功能发育异常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潜在影响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立体感差：运动中接球困难、上下楼梯判断不准、精细操作（某些职业）受影响；儿童影响学习与运动信心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应对对策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①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先排除屈光因素，足矫后复测；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②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儿童一律转诊到爱眼城眼科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（排查弱视、斜视，弱视有年龄窗口期）；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③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成人新发生的立体视下降需排查眼病；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④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稳定者在医生指导下评估视觉训练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话术要点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两只眼没有一起好好工作。先到爱眼城眼科排除弱视和斜视，排除之后再看要不要做视觉训练。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</w:p>
        </w:tc>
      </w:tr>
    </w:tbl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 xml:space="preserve">15. 儿童疑似斜视 / 弱视风险（眼位偏斜、视力差 ≥2 行、注视不稳） </w:t>
      </w:r>
      <w:r>
        <w:rPr>
          <w:rFonts w:ascii="微软雅黑" w:hAnsi="微软雅黑" w:eastAsia="微软雅黑" w:cs="微软雅黑" w:hint="eastAsia"/>
          <w:b/>
          <w:color w:val="C62828"/>
          <w:sz w:val="20"/>
          <w:lang w:eastAsia="zh-CN"/>
        </w:rPr>
        <w:t>（需转诊）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分析维度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可能原因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未矫正的屈光不正（尤其远视、屈光参差）；斜视导致单眼抑制；先天性白内障等屈光介质混浊；家族史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潜在影响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错过视觉发育关键期（一般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8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岁前仍有较好可塑性，年龄越小越强）可造成终身视力损害；影响学习与运动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应对对策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①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立即转诊到爱眼城眼科（小儿眼科）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，说明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早发现早处理，窗口期有限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②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家长须严格、持续地执行遮盖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训练医嘱（随访重点）；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③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门店负责：配镜精度、镜架佩戴舒适、定期复查矫正视力；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④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建立随访提醒（通常遵医嘱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1-3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个月一次）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话术要点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这个不能等，孩子眼睛发育有窗口期。我们今天就把资料整理好，建议您尽快带孩子去看看。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</w:p>
        </w:tc>
      </w:tr>
    </w:tbl>
    <w:p>
      <w:pPr>
        <w:pStyle w:val="Heading3"/>
        <w:spacing w:line="324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0"/>
          <w:lang w:eastAsia="zh-CN"/>
        </w:rPr>
        <w:t xml:space="preserve">16. 急性症状（突发红痛 / 视力骤降 / 闪光感 / 飞蚊爆发式增加 / 视野幕样遮挡 / 外伤） </w:t>
      </w:r>
      <w:r>
        <w:rPr>
          <w:rFonts w:ascii="微软雅黑" w:hAnsi="微软雅黑" w:eastAsia="微软雅黑" w:cs="微软雅黑" w:hint="eastAsia"/>
          <w:b/>
          <w:color w:val="C62828"/>
          <w:sz w:val="20"/>
          <w:lang w:eastAsia="zh-CN"/>
        </w:rPr>
        <w:t>（急诊）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分析维度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shd w:val="clear" w:color="auto" w:fill="F5F7FA"/>
            <w:vAlign w:val="center"/>
          </w:tcPr>
          <w:p>
            <w:pPr>
              <w:jc w:val="center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可能原因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可能为急性闭角型青光眼、视网膜脱离、视神经炎、葡萄膜炎、角膜损伤、眼内感染等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——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均超出门店能力范围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潜在影响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延误处理可造成永久性视力丧失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应对对策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①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立即停止验光配镜流程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②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不滴任何药、不揉眼、不热敷；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③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协助联系家属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车辆，立即前往爱眼城眼科；如为急症或非营业时间，就近前往有眼科急诊的医院（提前整理好本店可用的就医指引）；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  <w:br/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④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记录顾客信息与当日情况；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⑤ 24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小时内回访确认就医结果</w:t>
            </w:r>
          </w:p>
        </w:tc>
      </w:tr>
      <w:tr>
        <w:tc>
          <w:tcPr>
            <w:tcW w:type="pct" w:w="9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话术要点</w:t>
            </w:r>
          </w:p>
        </w:tc>
        <w:tc>
          <w:tcPr>
            <w:tcW w:type="pct" w:w="410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vAlign w:val="center"/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您这个情况我现在不能再往下查了，必须马上到爱眼城眼科，越早越好。我帮您联系家人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车。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”</w:t>
            </w:r>
          </w:p>
        </w:tc>
      </w:tr>
    </w:tbl>
    <w:p>
      <w:bookmarkStart w:id="26" w:name="_Toc_section_13"/>
      <w:bookmarkStart w:id="12" w:name="section-13"/>
      <w:pPr>
        <w:pStyle w:val="Heading2"/>
        <w:spacing w:line="312" w:lineRule="auto"/>
        <w:jc w:val="left"/>
        <w:pBdr>
          <w:bottom w:val="single" w:sz="8" w:space="0" w:color="E0E0E0"/>
        </w:pBdr>
      </w:pPr>
      <w:bookmarkEnd w:id="12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十二、异常值对照表使用纪律</w:t>
      </w:r>
      <w:bookmarkEnd w:id="26"/>
    </w:p>
    <w:p>
      <w:pPr>
        <w:pStyle w:val="ListBullet"/>
        <w:spacing w:line="384" w:lineRule="auto" w:after="45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先核对，再下结论。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单次异常先安排复测（如戴隐形者停戴后重测），避免把测量误差讲成问题；两个及以上相关指标同时异常时，按</w:t>
      </w:r>
      <w:r>
        <w:rPr>
          <w:rFonts w:ascii="微软雅黑" w:hAnsi="微软雅黑"/>
          <w:color w:val="212121"/>
          <w:sz w:val="18"/>
        </w:rPr>
        <w:t>“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转诊提示</w:t>
      </w:r>
      <w:r>
        <w:rPr>
          <w:rFonts w:ascii="微软雅黑" w:hAnsi="微软雅黑"/>
          <w:color w:val="212121"/>
          <w:sz w:val="18"/>
        </w:rPr>
        <w:t>”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处理，不单独解释某一项。</w:t>
      </w:r>
    </w:p>
    <w:p>
      <w:pPr>
        <w:pStyle w:val="ListBullet"/>
        <w:spacing w:line="384" w:lineRule="auto" w:after="45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凡“需转诊”条目，一律同一个动作：停止推荐。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此刻不再谈任何镜片</w:t>
      </w:r>
      <w:r>
        <w:rPr>
          <w:rFonts w:ascii="微软雅黑" w:hAnsi="微软雅黑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训练</w:t>
      </w:r>
      <w:r>
        <w:rPr>
          <w:rFonts w:ascii="微软雅黑" w:hAnsi="微软雅黑"/>
          <w:color w:val="212121"/>
          <w:sz w:val="18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护理产品，只谈</w:t>
      </w:r>
      <w:r>
        <w:rPr>
          <w:rFonts w:ascii="微软雅黑" w:hAnsi="微软雅黑"/>
          <w:color w:val="212121"/>
          <w:sz w:val="18"/>
        </w:rPr>
        <w:t>“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去哪看、为什么现在看、资料怎么带</w:t>
      </w:r>
      <w:r>
        <w:rPr>
          <w:rFonts w:ascii="微软雅黑" w:hAnsi="微软雅黑"/>
          <w:color w:val="212121"/>
          <w:sz w:val="18"/>
        </w:rPr>
        <w:t>”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</w:t>
      </w:r>
    </w:p>
    <w:p>
      <w:pPr>
        <w:pStyle w:val="ListBullet"/>
        <w:spacing w:line="384" w:lineRule="auto" w:after="45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不解释病因，只讲常识。</w:t>
      </w:r>
      <w:r>
        <w:rPr>
          <w:rFonts w:ascii="微软雅黑" w:hAnsi="微软雅黑"/>
          <w:color w:val="212121"/>
          <w:sz w:val="18"/>
        </w:rPr>
        <w:t>“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为什么会这样</w:t>
      </w:r>
      <w:r>
        <w:rPr>
          <w:rFonts w:ascii="微软雅黑" w:hAnsi="微软雅黑"/>
          <w:color w:val="212121"/>
          <w:sz w:val="18"/>
        </w:rPr>
        <w:t>”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用通俗的健康常识表达；涉及疾病机制的一律交给医生。</w:t>
      </w:r>
    </w:p>
    <w:p>
      <w:pPr>
        <w:pStyle w:val="ListBullet"/>
        <w:spacing w:line="384" w:lineRule="auto" w:after="45"/>
        <w:jc w:val="left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每次都要给时间节点。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对策栏若含复查要求，必须在《方案建议书》和系统中写明具体日期。</w:t>
      </w:r>
    </w:p>
    <w:p>
      <w:pPr>
        <w:spacing w:line="384" w:lineRule="auto" w:before="63" w:after="90"/>
        <w:jc w:val="left"/>
        <w:shd w:val="clear" w:color="auto" w:fill="F5F7FA"/>
      </w:pP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补充强调：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表中</w:t>
      </w:r>
      <w:r>
        <w:rPr>
          <w:rFonts w:ascii="微软雅黑" w:hAnsi="微软雅黑"/>
          <w:color w:val="212121"/>
          <w:sz w:val="18"/>
        </w:rPr>
        <w:t>“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可能原因</w:t>
      </w:r>
      <w:r>
        <w:rPr>
          <w:rFonts w:ascii="微软雅黑" w:hAnsi="微软雅黑"/>
          <w:color w:val="212121"/>
          <w:sz w:val="18"/>
        </w:rPr>
        <w:t>”“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潜在影响</w:t>
      </w:r>
      <w:r>
        <w:rPr>
          <w:rFonts w:ascii="微软雅黑" w:hAnsi="微软雅黑"/>
          <w:color w:val="212121"/>
          <w:sz w:val="18"/>
        </w:rPr>
        <w:t>”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均为一般性宣教，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不等于该顾客的实际病因与预后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。对顾客统一使用</w:t>
      </w:r>
      <w:r>
        <w:rPr>
          <w:rFonts w:ascii="微软雅黑" w:hAnsi="微软雅黑"/>
          <w:color w:val="212121"/>
          <w:sz w:val="18"/>
        </w:rPr>
        <w:t>“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这类情况常见的做法是</w:t>
      </w:r>
      <w:r>
        <w:rPr>
          <w:rFonts w:ascii="微软雅黑" w:hAnsi="微软雅黑"/>
          <w:color w:val="212121"/>
          <w:sz w:val="18"/>
        </w:rPr>
        <w:t>……”“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一般建议</w:t>
      </w:r>
      <w:r>
        <w:rPr>
          <w:rFonts w:ascii="微软雅黑" w:hAnsi="微软雅黑"/>
          <w:color w:val="212121"/>
          <w:sz w:val="18"/>
        </w:rPr>
        <w:t>……”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句式。</w:t>
      </w:r>
    </w:p>
    <w:p>
      <w:bookmarkStart w:id="27" w:name="_Toc_section_14"/>
      <w:bookmarkStart w:id="13" w:name="section-14"/>
      <w:pPr>
        <w:pStyle w:val="Heading2"/>
        <w:spacing w:line="312" w:lineRule="auto"/>
        <w:jc w:val="left"/>
        <w:pBdr>
          <w:bottom w:val="single" w:sz="8" w:space="0" w:color="E0E0E0"/>
        </w:pBdr>
      </w:pPr>
      <w:bookmarkEnd w:id="13"/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附录 · 口径来源与免责说明</w:t>
      </w:r>
      <w:bookmarkEnd w:id="27"/>
    </w:p>
    <w:p>
      <w:pPr>
        <w:spacing w:line="384" w:lineRule="auto" w:after="56"/>
        <w:jc w:val="left"/>
      </w:pP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本表参考数值来源于视光学教材与行业通行筛查标准的整理，仅供门店健康宣教与转诊提示使用，不构成任何医疗诊断依据。数值如与国家最新诊疗指南不一致，以指南和接诊医疗机构意见为准。</w:t>
      </w:r>
    </w:p>
    <w:p>
      <w:pPr>
        <w:spacing w:line="384" w:lineRule="auto" w:after="56"/>
        <w:jc w:val="left"/>
      </w:pP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编制：闫胜君整理</w:t>
      </w:r>
      <w:r>
        <w:rPr>
          <w:rFonts w:ascii="微软雅黑" w:hAnsi="微软雅黑"/>
          <w:color w:val="616161"/>
          <w:sz w:val="16"/>
        </w:rPr>
        <w:t xml:space="preserve"> 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｜</w:t>
      </w:r>
      <w:r>
        <w:rPr>
          <w:rFonts w:ascii="微软雅黑" w:hAnsi="微软雅黑"/>
          <w:color w:val="616161"/>
          <w:sz w:val="16"/>
        </w:rPr>
        <w:t xml:space="preserve"> 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永州爱眼城连锁门店</w:t>
      </w:r>
      <w:r>
        <w:rPr>
          <w:rFonts w:ascii="微软雅黑" w:hAnsi="微软雅黑"/>
          <w:color w:val="616161"/>
          <w:sz w:val="16"/>
        </w:rPr>
        <w:t xml:space="preserve"> · 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检查报告解读标准化落地方案</w:t>
      </w:r>
      <w:r>
        <w:rPr>
          <w:rFonts w:ascii="微软雅黑" w:hAnsi="微软雅黑"/>
          <w:color w:val="616161"/>
          <w:sz w:val="16"/>
        </w:rPr>
        <w:t xml:space="preserve"> V1.0 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｜</w:t>
      </w:r>
      <w:r>
        <w:rPr>
          <w:rFonts w:ascii="微软雅黑" w:hAnsi="微软雅黑"/>
          <w:color w:val="616161"/>
          <w:sz w:val="16"/>
        </w:rPr>
        <w:t xml:space="preserve"> 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口径基准日</w:t>
      </w:r>
      <w:r>
        <w:rPr>
          <w:rFonts w:ascii="微软雅黑" w:hAnsi="微软雅黑"/>
          <w:color w:val="616161"/>
          <w:sz w:val="16"/>
        </w:rPr>
        <w:t xml:space="preserve"> 2026-09-21</w:t>
      </w:r>
      <w:r>
        <w:rPr>
          <w:rFonts w:ascii="微软雅黑" w:hAnsi="微软雅黑" w:eastAsia="微软雅黑" w:cs="微软雅黑" w:hint="eastAsia"/>
          <w:color w:val="616161"/>
          <w:sz w:val="16"/>
          <w:lang w:eastAsia="zh-CN"/>
        </w:rPr>
        <w:t>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20"/>
      <w:ind w:firstLine="0"/>
      <w:jc w:val="left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8" w:after="120" w:line="265" w:lineRule="auto"/>
      <w:jc w:val="left"/>
      <w:outlineLvl w:val="1"/>
    </w:pPr>
    <w:rPr>
      <w:rFonts w:ascii="微软雅黑" w:hAnsi="微软雅黑" w:eastAsia="微软雅黑"/>
      <w:b/>
      <w:bCs/>
      <w:color w:val="1565C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16" w:after="84" w:line="275" w:lineRule="auto"/>
      <w:jc w:val="left"/>
      <w:outlineLvl w:val="2"/>
    </w:pPr>
    <w:rPr>
      <w:rFonts w:ascii="微软雅黑" w:hAnsi="微软雅黑" w:eastAsia="微软雅黑"/>
      <w:b/>
      <w:bCs/>
      <w:color w:val="1A237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