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B2A4A"/>
          <w:sz w:val="72"/>
          <w:szCs w:val="72"/>
        </w:rPr>
        <w:t xml:space="preserve">UYAP 2.0</w:t>
      </w:r>
    </w:p>
    <w:p>
      <w:pPr>
        <w:spacing w:after="200"/>
        <w:jc w:val="center"/>
      </w:pPr>
      <w:r>
        <w:rPr>
          <w:rFonts w:ascii="Arial" w:cs="Arial" w:eastAsia="Arial" w:hAnsi="Arial"/>
          <w:b/>
          <w:bCs/>
          <w:color w:val="2E6DB4"/>
          <w:sz w:val="40"/>
          <w:szCs w:val="40"/>
        </w:rPr>
        <w:t xml:space="preserve">Prosedürel Uyum Muhafızı</w:t>
      </w:r>
    </w:p>
    <w:p>
      <w:pPr>
        <w:spacing w:after="100"/>
        <w:jc w:val="center"/>
      </w:pPr>
      <w:r>
        <w:rPr>
          <w:rFonts w:ascii="Arial" w:cs="Arial" w:eastAsia="Arial" w:hAnsi="Arial"/>
          <w:color w:val="4A4A4A"/>
          <w:sz w:val="28"/>
          <w:szCs w:val="28"/>
        </w:rPr>
        <w:t xml:space="preserve">Procedural Compliance Guardian</w:t>
      </w:r>
    </w:p>
    <w:p>
      <w:pPr>
        <w:pBdr>
          <w:bottom w:val="single" w:color="C8922A" w:sz="6" w:space="1"/>
        </w:pBdr>
        <w:spacing w:after="120" w:before="120"/>
      </w:pPr>
    </w:p>
    <w:p>
      <w:r>
        <w:br/>
      </w:r>
    </w:p>
    <w:p>
      <w:pPr>
        <w:spacing w:after="80"/>
        <w:jc w:val="center"/>
      </w:pPr>
      <w:r>
        <w:rPr>
          <w:rFonts w:ascii="Arial" w:cs="Arial" w:eastAsia="Arial" w:hAnsi="Arial"/>
          <w:color w:val="4A4A4A"/>
          <w:sz w:val="24"/>
          <w:szCs w:val="24"/>
        </w:rPr>
        <w:t xml:space="preserve">Bilgi Sistemleri Proje Yönetimi — Kapsamlı Proje Raporu</w:t>
      </w:r>
    </w:p>
    <w:p>
      <w:r>
        <w:br/>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Öğrenci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Mehmet Albayrak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Öğrenci 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20251556001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E-posta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mehmet.albayrak@nisantasi.edu.tr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Danışman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Dr. Ali Özkurt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Üniversite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Nişantaşı Üniversitesi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Bölüm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Yapay Zeka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Ders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Bilgi Sistemleri Proje Yönetimi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Tarih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Haziran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20"/>
                <w:szCs w:val="20"/>
              </w:rPr>
              <w:t xml:space="preserve">Platform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lawai.tr / lawai.com.tr</w:t>
            </w:r>
          </w:p>
        </w:tc>
      </w:tr>
    </w:tbl>
    <w:p>
      <w:r>
        <w:br/>
      </w:r>
    </w:p>
    <w:p>
      <w:r>
        <w:br/>
      </w:r>
    </w:p>
    <w:p>
      <w:pPr>
        <w:jc w:val="center"/>
      </w:pPr>
      <w:r>
        <w:rPr>
          <w:rFonts w:ascii="Arial" w:cs="Arial" w:eastAsia="Arial" w:hAnsi="Arial"/>
          <w:b/>
          <w:bCs/>
          <w:color w:val="C8922A"/>
          <w:sz w:val="18"/>
          <w:szCs w:val="18"/>
        </w:rPr>
        <w:t xml:space="preserve">Gizli — Yalnızca Akademik Değerlendirme Amaçlı</w:t>
      </w:r>
    </w:p>
    <w:p>
      <w:pPr>
        <w:pageBreakBefore/>
      </w:pPr>
      <w:r>
        <w:br/>
        <w:t xml:space="preserve"/>
      </w:r>
    </w:p>
    <w:p>
      <w:pPr>
        <w:pStyle w:val="Heading1"/>
        <w:spacing w:after="180" w:before="360"/>
      </w:pPr>
      <w:r>
        <w:rPr>
          <w:rFonts w:ascii="Arial" w:cs="Arial" w:eastAsia="Arial" w:hAnsi="Arial"/>
          <w:b/>
          <w:bCs/>
          <w:color w:val="1B2A4A"/>
          <w:sz w:val="24"/>
          <w:szCs w:val="24"/>
        </w:rPr>
        <w:t xml:space="preserve">İçindekiler</w:t>
      </w:r>
    </w:p>
    <w:sdt>
      <w:sdtPr>
        <w:alias w:val="İçindekiler"/>
      </w:sdtPr>
      <w:sdtContent>
        <w:p>
          <w:r>
            <w:fldChar w:fldCharType="begin" w:dirty="true"/>
            <w:instrText xml:space="preserve">TOC \h \o "1-4"</w:instrText>
            <w:fldChar w:fldCharType="separate"/>
          </w:r>
        </w:p>
        <w:p>
          <w:r>
            <w:fldChar w:fldCharType="end"/>
          </w:r>
        </w:p>
      </w:sdtContent>
    </w:sdt>
    <w:p>
      <w:pPr>
        <w:pageBreakBefore/>
      </w:pPr>
      <w:r>
        <w:br/>
        <w:t xml:space="preserve"/>
      </w:r>
    </w:p>
    <w:p>
      <w:pPr>
        <w:pStyle w:val="Heading1"/>
        <w:spacing w:after="180" w:before="360"/>
      </w:pPr>
      <w:r>
        <w:rPr>
          <w:rFonts w:ascii="Arial" w:cs="Arial" w:eastAsia="Arial" w:hAnsi="Arial"/>
          <w:b/>
          <w:bCs/>
          <w:color w:val="1B2A4A"/>
          <w:sz w:val="24"/>
          <w:szCs w:val="24"/>
        </w:rPr>
        <w:t xml:space="preserve">1. Yönetici Özeti</w:t>
      </w:r>
    </w:p>
    <w:p>
      <w:pPr>
        <w:spacing w:after="160" w:line="300"/>
        <w:jc w:val="both"/>
      </w:pPr>
      <w:r>
        <w:rPr>
          <w:rFonts w:ascii="Arial" w:cs="Arial" w:eastAsia="Arial" w:hAnsi="Arial"/>
          <w:b w:val="false"/>
          <w:bCs w:val="false"/>
          <w:i w:val="false"/>
          <w:iCs w:val="false"/>
          <w:color w:val="4A4A4A"/>
          <w:sz w:val="22"/>
          <w:szCs w:val="22"/>
        </w:rPr>
        <w:t xml:space="preserve">UYAP 2.0 — Prosedürel Uyum Muhafızı, Türkiye'nin mevcut UYAP yargı yönetim sistemi üzerine konumlandırılan yapay zeka destekli bir yargısal destek katmanıdır. Sistem, yargıçların prosedürel araştırma yükünü azaltmak amacıyla tasarlanmış; yargı yetkisini ikame etmeden usul hatalarını önleyen bir 'ortak pilot' (co-pilot) mimarisi sunmaktadır.</w:t>
      </w:r>
    </w:p>
    <w:p>
      <w:pPr>
        <w:spacing w:after="160" w:line="300"/>
        <w:jc w:val="both"/>
      </w:pPr>
      <w:r>
        <w:rPr>
          <w:rFonts w:ascii="Arial" w:cs="Arial" w:eastAsia="Arial" w:hAnsi="Arial"/>
          <w:b w:val="false"/>
          <w:bCs w:val="false"/>
          <w:i w:val="false"/>
          <w:iCs w:val="false"/>
          <w:color w:val="4A4A4A"/>
          <w:sz w:val="22"/>
          <w:szCs w:val="22"/>
        </w:rPr>
        <w:t xml:space="preserve">Proje; Hukuk NLP, kural motoru, anomali tespiti, açıklanabilir yapay zeka ve blok zinciri tabanlı denetim izi bileşenlerini tek bir entegre platformda bir araya getirmektedir. Geliştirilen model ortalama F1 skorunu 0.887 olarak elde etmiş; test doğruluğu %92.3, AUC değeri ise %93.8 olarak raporlanmıştır.</w:t>
      </w:r>
    </w:p>
    <w:p>
      <w:r>
        <w:br/>
      </w:r>
    </w:p>
    <w:p>
      <w:pPr>
        <w:pStyle w:val="Heading3"/>
        <w:spacing w:after="180" w:before="360"/>
      </w:pPr>
      <w:r>
        <w:rPr>
          <w:rFonts w:ascii="Arial" w:cs="Arial" w:eastAsia="Arial" w:hAnsi="Arial"/>
          <w:b/>
          <w:bCs/>
          <w:color w:val="1B2A4A"/>
          <w:sz w:val="24"/>
          <w:szCs w:val="24"/>
        </w:rPr>
        <w:t xml:space="preserve">Temel Göstergeler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Metrik</w:t>
            </w:r>
          </w:p>
        </w:tc>
        <w:tc>
          <w:tcPr>
            <w:tcW w:type="dxa" w:w="4513"/>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Değer</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Ortalama F1 Skoru</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0.887</w:t>
            </w:r>
          </w:p>
        </w:tc>
      </w:tr>
      <w:tr>
        <w:tc>
          <w:tcPr>
            <w:tcW w:type="dxa" w:w="4513"/>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Test Doğruluğu</w:t>
            </w:r>
          </w:p>
        </w:tc>
        <w:tc>
          <w:tcPr>
            <w:tcW w:type="dxa" w:w="4513"/>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%92.3</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AUC (ROC)</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%93.8</w:t>
            </w:r>
          </w:p>
        </w:tc>
      </w:tr>
      <w:tr>
        <w:tc>
          <w:tcPr>
            <w:tcW w:type="dxa" w:w="4513"/>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Doğrulama Yöntemi</w:t>
            </w:r>
          </w:p>
        </w:tc>
        <w:tc>
          <w:tcPr>
            <w:tcW w:type="dxa" w:w="4513"/>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5-fold Çapraz Doğrulama</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Hedef Pazar</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5.000+ Türk Mahkemesi</w:t>
            </w:r>
          </w:p>
        </w:tc>
      </w:tr>
      <w:tr>
        <w:tc>
          <w:tcPr>
            <w:tcW w:type="dxa" w:w="4513"/>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Proje Süresi</w:t>
            </w:r>
          </w:p>
        </w:tc>
        <w:tc>
          <w:tcPr>
            <w:tcW w:type="dxa" w:w="4513"/>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36 Ay (4 Faz)</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Lisans Modeli</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A4A4A"/>
                <w:sz w:val="21"/>
                <w:szCs w:val="21"/>
              </w:rPr>
              <w:t xml:space="preserve">SaaS — Mahkeme Başına Abonelik</w:t>
            </w:r>
          </w:p>
        </w:tc>
      </w:tr>
    </w:tbl>
    <w:p>
      <w:pPr>
        <w:pageBreakBefore/>
      </w:pPr>
      <w:r>
        <w:br/>
        <w:t xml:space="preserve"/>
      </w:r>
    </w:p>
    <w:p>
      <w:pPr>
        <w:pStyle w:val="Heading1"/>
        <w:spacing w:after="180" w:before="360"/>
      </w:pPr>
      <w:r>
        <w:rPr>
          <w:rFonts w:ascii="Arial" w:cs="Arial" w:eastAsia="Arial" w:hAnsi="Arial"/>
          <w:b/>
          <w:bCs/>
          <w:color w:val="1B2A4A"/>
          <w:sz w:val="24"/>
          <w:szCs w:val="24"/>
        </w:rPr>
        <w:t xml:space="preserve">2. Problemin Tanımı ve Motivasyon</w:t>
      </w:r>
    </w:p>
    <w:p>
      <w:pPr>
        <w:pStyle w:val="Heading2"/>
        <w:spacing w:after="180" w:before="360"/>
      </w:pPr>
      <w:r>
        <w:rPr>
          <w:rFonts w:ascii="Arial" w:cs="Arial" w:eastAsia="Arial" w:hAnsi="Arial"/>
          <w:b/>
          <w:bCs/>
          <w:color w:val="1B2A4A"/>
          <w:sz w:val="24"/>
          <w:szCs w:val="24"/>
        </w:rPr>
        <w:t xml:space="preserve">2.1 Mevcut Durumun Analizi</w:t>
      </w:r>
    </w:p>
    <w:p>
      <w:pPr>
        <w:spacing w:after="160" w:line="300"/>
        <w:jc w:val="both"/>
      </w:pPr>
      <w:r>
        <w:rPr>
          <w:rFonts w:ascii="Arial" w:cs="Arial" w:eastAsia="Arial" w:hAnsi="Arial"/>
          <w:b w:val="false"/>
          <w:bCs w:val="false"/>
          <w:i w:val="false"/>
          <w:iCs w:val="false"/>
          <w:color w:val="4A4A4A"/>
          <w:sz w:val="22"/>
          <w:szCs w:val="22"/>
        </w:rPr>
        <w:t xml:space="preserve">Türk yargı sistemi, artan iş yükü ve karmaşıklaşan prosedürel gereklilikler nedeniyle ciddi baskılarla karşı karşıya kalmaktadır. Hukuk Muhakemeleri Kanunu (HMK), Ceza Muhakemesi Kanunu (CMK) ve İcra İflas Kanunu (İİK) çerçevesinde mahkemelerin işlem yapması gerekmekte; bu kanunlar sürekli güncellenmektedir.</w:t>
      </w:r>
    </w:p>
    <w:p>
      <w:pPr>
        <w:pStyle w:val="Heading2"/>
        <w:spacing w:after="180" w:before="360"/>
      </w:pPr>
      <w:r>
        <w:rPr>
          <w:rFonts w:ascii="Arial" w:cs="Arial" w:eastAsia="Arial" w:hAnsi="Arial"/>
          <w:b/>
          <w:bCs/>
          <w:color w:val="1B2A4A"/>
          <w:sz w:val="24"/>
          <w:szCs w:val="24"/>
        </w:rPr>
        <w:t xml:space="preserve">2.2 Tespit Edilen Kritik Sorunlar</w:t>
      </w:r>
    </w:p>
    <w:p>
      <w:pPr>
        <w:pStyle w:val="ListParagraph"/>
        <w:numPr>
          <w:ilvl w:val="0"/>
          <w:numId w:val="2"/>
        </w:numPr>
        <w:spacing w:after="100"/>
      </w:pPr>
      <w:r>
        <w:rPr>
          <w:rFonts w:ascii="Arial" w:cs="Arial" w:eastAsia="Arial" w:hAnsi="Arial"/>
          <w:color w:val="4A4A4A"/>
          <w:sz w:val="22"/>
          <w:szCs w:val="22"/>
        </w:rPr>
        <w:t xml:space="preserve">Prosedürel hata oranları: Tensip zaptı, celse tutanağı ve tebligat süreçlerinde insan kaynaklı hatalar</w:t>
      </w:r>
    </w:p>
    <w:p>
      <w:pPr>
        <w:pStyle w:val="ListParagraph"/>
        <w:numPr>
          <w:ilvl w:val="0"/>
          <w:numId w:val="2"/>
        </w:numPr>
        <w:spacing w:after="100"/>
      </w:pPr>
      <w:r>
        <w:rPr>
          <w:rFonts w:ascii="Arial" w:cs="Arial" w:eastAsia="Arial" w:hAnsi="Arial"/>
          <w:color w:val="4A4A4A"/>
          <w:sz w:val="22"/>
          <w:szCs w:val="22"/>
        </w:rPr>
        <w:t xml:space="preserve">Yargıtay içtihat yükü: Hâkimlerin güncel kararları takip etmekte yaşadığı güçlükler</w:t>
      </w:r>
    </w:p>
    <w:p>
      <w:pPr>
        <w:pStyle w:val="ListParagraph"/>
        <w:numPr>
          <w:ilvl w:val="0"/>
          <w:numId w:val="2"/>
        </w:numPr>
        <w:spacing w:after="100"/>
      </w:pPr>
      <w:r>
        <w:rPr>
          <w:rFonts w:ascii="Arial" w:cs="Arial" w:eastAsia="Arial" w:hAnsi="Arial"/>
          <w:color w:val="4A4A4A"/>
          <w:sz w:val="22"/>
          <w:szCs w:val="22"/>
        </w:rPr>
        <w:t xml:space="preserve">Süre yönetimi: Yasal sürelerin takibi ve ihlallerin önlenmesi</w:t>
      </w:r>
    </w:p>
    <w:p>
      <w:pPr>
        <w:pStyle w:val="ListParagraph"/>
        <w:numPr>
          <w:ilvl w:val="0"/>
          <w:numId w:val="2"/>
        </w:numPr>
        <w:spacing w:after="100"/>
      </w:pPr>
      <w:r>
        <w:rPr>
          <w:rFonts w:ascii="Arial" w:cs="Arial" w:eastAsia="Arial" w:hAnsi="Arial"/>
          <w:color w:val="4A4A4A"/>
          <w:sz w:val="22"/>
          <w:szCs w:val="22"/>
        </w:rPr>
        <w:t xml:space="preserve">Denetlenebilirlik eksikliği: Karar gerekçelerinin şeffaf ve izlenebilir olmaması</w:t>
      </w:r>
    </w:p>
    <w:p>
      <w:pPr>
        <w:pStyle w:val="ListParagraph"/>
        <w:numPr>
          <w:ilvl w:val="0"/>
          <w:numId w:val="2"/>
        </w:numPr>
        <w:spacing w:after="100"/>
      </w:pPr>
      <w:r>
        <w:rPr>
          <w:rFonts w:ascii="Arial" w:cs="Arial" w:eastAsia="Arial" w:hAnsi="Arial"/>
          <w:color w:val="4A4A4A"/>
          <w:sz w:val="22"/>
          <w:szCs w:val="22"/>
        </w:rPr>
        <w:t xml:space="preserve">Veri gizliliği: KVKK uyumu ile AI kullanımının dengelenmesi</w:t>
      </w:r>
    </w:p>
    <w:p>
      <w:r>
        <w:br/>
      </w:r>
    </w:p>
    <w:p>
      <w:pPr>
        <w:pStyle w:val="Heading2"/>
        <w:spacing w:after="180" w:before="360"/>
      </w:pPr>
      <w:r>
        <w:rPr>
          <w:rFonts w:ascii="Arial" w:cs="Arial" w:eastAsia="Arial" w:hAnsi="Arial"/>
          <w:b/>
          <w:bCs/>
          <w:color w:val="1B2A4A"/>
          <w:sz w:val="24"/>
          <w:szCs w:val="24"/>
        </w:rPr>
        <w:t xml:space="preserve">2.3 Fırsat Penceresi</w:t>
      </w:r>
    </w:p>
    <w:p>
      <w:pPr>
        <w:spacing w:after="160" w:line="300"/>
        <w:jc w:val="both"/>
      </w:pPr>
      <w:r>
        <w:rPr>
          <w:rFonts w:ascii="Arial" w:cs="Arial" w:eastAsia="Arial" w:hAnsi="Arial"/>
          <w:b w:val="false"/>
          <w:bCs w:val="false"/>
          <w:i w:val="false"/>
          <w:iCs w:val="false"/>
          <w:color w:val="4A4A4A"/>
          <w:sz w:val="22"/>
          <w:szCs w:val="22"/>
        </w:rPr>
        <w:t xml:space="preserve">Türkiye'nin dijital dönüşüm gündeminde yargı sektörü öncelikli alan olarak belirlenmiştir. Adalet Bakanlığı'nın mevcut UYAP altyapısı; API entegrasyonuna açık bir mimari sunmakta ve yeni bir yapay zeka katmanı için güçlü bir temel oluşturmaktadır. Bu bağlamda UYAP 2.0, mevcut sistemi yıkmayan; aksine onu güçlendiren bir çözüm olarak konumlanmaktadır.</w:t>
      </w:r>
    </w:p>
    <w:p>
      <w:pPr>
        <w:pageBreakBefore/>
      </w:pPr>
      <w:r>
        <w:br/>
        <w:t xml:space="preserve"/>
      </w:r>
    </w:p>
    <w:p>
      <w:pPr>
        <w:pStyle w:val="Heading1"/>
        <w:spacing w:after="180" w:before="360"/>
      </w:pPr>
      <w:r>
        <w:rPr>
          <w:rFonts w:ascii="Arial" w:cs="Arial" w:eastAsia="Arial" w:hAnsi="Arial"/>
          <w:b/>
          <w:bCs/>
          <w:color w:val="1B2A4A"/>
          <w:sz w:val="24"/>
          <w:szCs w:val="24"/>
        </w:rPr>
        <w:t xml:space="preserve">3. Sistem Mimarisi</w:t>
      </w:r>
    </w:p>
    <w:p>
      <w:pPr>
        <w:pStyle w:val="Heading2"/>
        <w:spacing w:after="180" w:before="360"/>
      </w:pPr>
      <w:r>
        <w:rPr>
          <w:rFonts w:ascii="Arial" w:cs="Arial" w:eastAsia="Arial" w:hAnsi="Arial"/>
          <w:b/>
          <w:bCs/>
          <w:color w:val="1B2A4A"/>
          <w:sz w:val="24"/>
          <w:szCs w:val="24"/>
        </w:rPr>
        <w:t xml:space="preserve">3.1 Üç Katmanlı Mimari</w:t>
      </w:r>
    </w:p>
    <w:p>
      <w:pPr>
        <w:spacing w:after="160" w:line="300"/>
        <w:jc w:val="both"/>
      </w:pPr>
      <w:r>
        <w:rPr>
          <w:rFonts w:ascii="Arial" w:cs="Arial" w:eastAsia="Arial" w:hAnsi="Arial"/>
          <w:b w:val="false"/>
          <w:bCs w:val="false"/>
          <w:i w:val="false"/>
          <w:iCs w:val="false"/>
          <w:color w:val="4A4A4A"/>
          <w:sz w:val="22"/>
          <w:szCs w:val="22"/>
        </w:rPr>
        <w:t xml:space="preserve">UYAP 2.0, birbirinden bağımsız ancak entegre çalışan üç ana katmandan oluşmaktadır:</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Katman</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Bileşenler</w:t>
            </w:r>
          </w:p>
        </w:tc>
        <w:tc>
          <w:tcPr>
            <w:tcW w:type="dxa" w:w="30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Teknoloji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Katman 1: Veri &amp; NLP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HukukBERT, RAG Pipeline, Milvus Vektör Arama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BERTurk, Hugging Face, Milvus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Katman 2: Kural &amp; Uyum</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Drools Kural Motoru, CMK/İİK Hard-Stop, PM4Py</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Drools, Python, PM4Py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Katman 3: Denetim &amp; Güvenlik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Hyperledger Fabric, SHAP/XAI, FedProx+DP-SGD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Blockchain, SHAP, PySyft</w:t>
            </w:r>
          </w:p>
        </w:tc>
      </w:tr>
    </w:tbl>
    <w:p>
      <w:r>
        <w:br/>
      </w:r>
    </w:p>
    <w:p>
      <w:pPr>
        <w:pStyle w:val="Heading2"/>
        <w:spacing w:after="180" w:before="360"/>
      </w:pPr>
      <w:r>
        <w:rPr>
          <w:rFonts w:ascii="Arial" w:cs="Arial" w:eastAsia="Arial" w:hAnsi="Arial"/>
          <w:b/>
          <w:bCs/>
          <w:color w:val="1B2A4A"/>
          <w:sz w:val="24"/>
          <w:szCs w:val="24"/>
        </w:rPr>
        <w:t xml:space="preserve">3.2 Temel Teknoloji Bileşenleri</w:t>
      </w:r>
    </w:p>
    <w:p>
      <w:pPr>
        <w:pStyle w:val="Heading3"/>
        <w:spacing w:after="180" w:before="360"/>
      </w:pPr>
      <w:r>
        <w:rPr>
          <w:rFonts w:ascii="Arial" w:cs="Arial" w:eastAsia="Arial" w:hAnsi="Arial"/>
          <w:b/>
          <w:bCs/>
          <w:color w:val="1B2A4A"/>
          <w:sz w:val="24"/>
          <w:szCs w:val="24"/>
        </w:rPr>
        <w:t xml:space="preserve">HukukBERT — Hukuk NLP Motoru</w:t>
      </w:r>
    </w:p>
    <w:p>
      <w:pPr>
        <w:spacing w:after="160" w:line="300"/>
        <w:jc w:val="both"/>
      </w:pPr>
      <w:r>
        <w:rPr>
          <w:rFonts w:ascii="Arial" w:cs="Arial" w:eastAsia="Arial" w:hAnsi="Arial"/>
          <w:b w:val="false"/>
          <w:bCs w:val="false"/>
          <w:i w:val="false"/>
          <w:iCs w:val="false"/>
          <w:color w:val="4A4A4A"/>
          <w:sz w:val="22"/>
          <w:szCs w:val="22"/>
        </w:rPr>
        <w:t xml:space="preserve">BERTurk mimarisinin Yargıtay kararları üzerine ince ayarı (fine-tuning) ile elde edilen HukukBERT, Türkçe hukuki metin anlama görevlerinde state-of-the-art performans sergilemektedir. Model, tensip zaptı, celse tutanakları ve tebligat belgelerindeki prosedürel uyumsuzlukları otomatik olarak tespit etmektedir.</w:t>
      </w:r>
    </w:p>
    <w:p>
      <w:pPr>
        <w:pStyle w:val="Heading3"/>
        <w:spacing w:after="180" w:before="360"/>
      </w:pPr>
      <w:r>
        <w:rPr>
          <w:rFonts w:ascii="Arial" w:cs="Arial" w:eastAsia="Arial" w:hAnsi="Arial"/>
          <w:b/>
          <w:bCs/>
          <w:color w:val="1B2A4A"/>
          <w:sz w:val="24"/>
          <w:szCs w:val="24"/>
        </w:rPr>
        <w:t xml:space="preserve">Kural Motoru — Drools / PM4Py</w:t>
      </w:r>
    </w:p>
    <w:p>
      <w:pPr>
        <w:spacing w:after="160" w:line="300"/>
        <w:jc w:val="both"/>
      </w:pPr>
      <w:r>
        <w:rPr>
          <w:rFonts w:ascii="Arial" w:cs="Arial" w:eastAsia="Arial" w:hAnsi="Arial"/>
          <w:b w:val="false"/>
          <w:bCs w:val="false"/>
          <w:i w:val="false"/>
          <w:iCs w:val="false"/>
          <w:color w:val="4A4A4A"/>
          <w:sz w:val="22"/>
          <w:szCs w:val="22"/>
        </w:rPr>
        <w:t xml:space="preserve">CMK ve İİK hükümlerini kodifiye eden Drools tabanlı kural motoru, prosedürel hard-stop mekanizmaları uygular. PM4Py ile entegrasyon sayesinde iş süreci madenciliği gerçekleştirilerek mahkeme süreç anomalileri erken aşamada tespit edilmektedir.</w:t>
      </w:r>
    </w:p>
    <w:p>
      <w:pPr>
        <w:pStyle w:val="Heading3"/>
        <w:spacing w:after="180" w:before="360"/>
      </w:pPr>
      <w:r>
        <w:rPr>
          <w:rFonts w:ascii="Arial" w:cs="Arial" w:eastAsia="Arial" w:hAnsi="Arial"/>
          <w:b/>
          <w:bCs/>
          <w:color w:val="1B2A4A"/>
          <w:sz w:val="24"/>
          <w:szCs w:val="24"/>
        </w:rPr>
        <w:t xml:space="preserve">Anomali Tespiti — Isolation Forest + LSTM</w:t>
      </w:r>
    </w:p>
    <w:p>
      <w:pPr>
        <w:spacing w:after="160" w:line="300"/>
        <w:jc w:val="both"/>
      </w:pPr>
      <w:r>
        <w:rPr>
          <w:rFonts w:ascii="Arial" w:cs="Arial" w:eastAsia="Arial" w:hAnsi="Arial"/>
          <w:b w:val="false"/>
          <w:bCs w:val="false"/>
          <w:i w:val="false"/>
          <w:iCs w:val="false"/>
          <w:color w:val="4A4A4A"/>
          <w:sz w:val="22"/>
          <w:szCs w:val="22"/>
        </w:rPr>
        <w:t xml:space="preserve">Makine öğrenmesi tabanlı anomali tespit sistemi; istatistiksel aykırılık tespiti için Isolation Forest, zamansal örüntü analizi için LSTM ağlarını birlikte kullanmaktadır. Bu hibrid yaklaşım, tek model kullanımına kıyasla yalancı pozitif oranını önemli ölçüde azaltmaktadır.</w:t>
      </w:r>
    </w:p>
    <w:p>
      <w:pPr>
        <w:pStyle w:val="Heading3"/>
        <w:spacing w:after="180" w:before="360"/>
      </w:pPr>
      <w:r>
        <w:rPr>
          <w:rFonts w:ascii="Arial" w:cs="Arial" w:eastAsia="Arial" w:hAnsi="Arial"/>
          <w:b/>
          <w:bCs/>
          <w:color w:val="1B2A4A"/>
          <w:sz w:val="24"/>
          <w:szCs w:val="24"/>
        </w:rPr>
        <w:t xml:space="preserve">RAG Pipeline — Milvus Vektör Arama</w:t>
      </w:r>
    </w:p>
    <w:p>
      <w:pPr>
        <w:spacing w:after="160" w:line="300"/>
        <w:jc w:val="both"/>
      </w:pPr>
      <w:r>
        <w:rPr>
          <w:rFonts w:ascii="Arial" w:cs="Arial" w:eastAsia="Arial" w:hAnsi="Arial"/>
          <w:b w:val="false"/>
          <w:bCs w:val="false"/>
          <w:i w:val="false"/>
          <w:iCs w:val="false"/>
          <w:color w:val="4A4A4A"/>
          <w:sz w:val="22"/>
          <w:szCs w:val="22"/>
        </w:rPr>
        <w:t xml:space="preserve">Retrieval-Augmented Generation (RAG) mimarisi; güncel Yargıtay kararlarını, HMK/CMK mevzuatını ve akademik hukuk kaynaklarını vektör veri tabanında indeksleyerek anlık sorgu yapılabilir hale getirmektedir. Milvus kullanılan vektör arama motoru, milyonlarca belge arasında milisaniyeler içinde semantik arama yapılmasını sağlamaktadır.</w:t>
      </w:r>
    </w:p>
    <w:p>
      <w:pPr>
        <w:pStyle w:val="Heading3"/>
        <w:spacing w:after="180" w:before="360"/>
      </w:pPr>
      <w:r>
        <w:rPr>
          <w:rFonts w:ascii="Arial" w:cs="Arial" w:eastAsia="Arial" w:hAnsi="Arial"/>
          <w:b/>
          <w:bCs/>
          <w:color w:val="1B2A4A"/>
          <w:sz w:val="24"/>
          <w:szCs w:val="24"/>
        </w:rPr>
        <w:t xml:space="preserve">Blok Zinciri Denetim İzi — Hyperledger Fabric</w:t>
      </w:r>
    </w:p>
    <w:p>
      <w:pPr>
        <w:spacing w:after="160" w:line="300"/>
        <w:jc w:val="both"/>
      </w:pPr>
      <w:r>
        <w:rPr>
          <w:rFonts w:ascii="Arial" w:cs="Arial" w:eastAsia="Arial" w:hAnsi="Arial"/>
          <w:b w:val="false"/>
          <w:bCs w:val="false"/>
          <w:i w:val="false"/>
          <w:iCs w:val="false"/>
          <w:color w:val="4A4A4A"/>
          <w:sz w:val="22"/>
          <w:szCs w:val="22"/>
        </w:rPr>
        <w:t xml:space="preserve">Tüm AI önerileri, model kararları ve hâkim onayları Hyperledger Fabric blok zinciri üzerinde değiştirilemez şekilde kayıt altına alınmaktadır. Bu yapı; KVKK uyumunu, CEPEJ etik standartlarını ve AB Yapay Zeka Yasası Ek-III gerekliliklerini karşılamaktadır.</w:t>
      </w:r>
    </w:p>
    <w:p>
      <w:pPr>
        <w:pStyle w:val="Heading3"/>
        <w:spacing w:after="180" w:before="360"/>
      </w:pPr>
      <w:r>
        <w:rPr>
          <w:rFonts w:ascii="Arial" w:cs="Arial" w:eastAsia="Arial" w:hAnsi="Arial"/>
          <w:b/>
          <w:bCs/>
          <w:color w:val="1B2A4A"/>
          <w:sz w:val="24"/>
          <w:szCs w:val="24"/>
        </w:rPr>
        <w:t xml:space="preserve">Federe Öğrenme — FedProx + DP-SGD</w:t>
      </w:r>
    </w:p>
    <w:p>
      <w:pPr>
        <w:spacing w:after="160" w:line="300"/>
        <w:jc w:val="both"/>
      </w:pPr>
      <w:r>
        <w:rPr>
          <w:rFonts w:ascii="Arial" w:cs="Arial" w:eastAsia="Arial" w:hAnsi="Arial"/>
          <w:b w:val="false"/>
          <w:bCs w:val="false"/>
          <w:i w:val="false"/>
          <w:iCs w:val="false"/>
          <w:color w:val="4A4A4A"/>
          <w:sz w:val="22"/>
          <w:szCs w:val="22"/>
        </w:rPr>
        <w:t xml:space="preserve">Mahkemeler arası veri gizliliğini korumak amacıyla FedProx algoritması ile federe öğrenme, Differential Privacy SGD (DP-SGD) ile desteklenmektedir. Bu yaklaşım, ham davaların merkezi bir sunucuya iletilmesine gerek kalmadan model güncellemelerinin paylaşılmasını sağlamaktadır.</w:t>
      </w:r>
    </w:p>
    <w:p>
      <w:pPr>
        <w:pStyle w:val="Heading3"/>
        <w:spacing w:after="180" w:before="360"/>
      </w:pPr>
      <w:r>
        <w:rPr>
          <w:rFonts w:ascii="Arial" w:cs="Arial" w:eastAsia="Arial" w:hAnsi="Arial"/>
          <w:b/>
          <w:bCs/>
          <w:color w:val="1B2A4A"/>
          <w:sz w:val="24"/>
          <w:szCs w:val="24"/>
        </w:rPr>
        <w:t xml:space="preserve">Açıklanabilirlik — SHAP / XAI</w:t>
      </w:r>
    </w:p>
    <w:p>
      <w:pPr>
        <w:spacing w:after="160" w:line="300"/>
        <w:jc w:val="both"/>
      </w:pPr>
      <w:r>
        <w:rPr>
          <w:rFonts w:ascii="Arial" w:cs="Arial" w:eastAsia="Arial" w:hAnsi="Arial"/>
          <w:b w:val="false"/>
          <w:bCs w:val="false"/>
          <w:i w:val="false"/>
          <w:iCs w:val="false"/>
          <w:color w:val="4A4A4A"/>
          <w:sz w:val="22"/>
          <w:szCs w:val="22"/>
        </w:rPr>
        <w:t xml:space="preserve">Her AI önerisi, SHAP (SHapley Additive exPlanations) değerleri ile desteklenmektedir. Hâkimler, herhangi bir öneri için hangi faktörlerin etkili olduğunu, katkı paylarını ve güven aralıklarını anlık olarak görüntüleyebilmektedir.</w:t>
      </w:r>
    </w:p>
    <w:p>
      <w:pPr>
        <w:pageBreakBefore/>
      </w:pPr>
      <w:r>
        <w:br/>
        <w:t xml:space="preserve"/>
      </w:r>
    </w:p>
    <w:p>
      <w:pPr>
        <w:pStyle w:val="Heading1"/>
        <w:spacing w:after="180" w:before="360"/>
      </w:pPr>
      <w:r>
        <w:rPr>
          <w:rFonts w:ascii="Arial" w:cs="Arial" w:eastAsia="Arial" w:hAnsi="Arial"/>
          <w:b/>
          <w:bCs/>
          <w:color w:val="1B2A4A"/>
          <w:sz w:val="24"/>
          <w:szCs w:val="24"/>
        </w:rPr>
        <w:t xml:space="preserve">4. Akademik Araştırma ve Deneysel Sonuçlar</w:t>
      </w:r>
    </w:p>
    <w:p>
      <w:pPr>
        <w:pStyle w:val="Heading2"/>
        <w:spacing w:after="180" w:before="360"/>
      </w:pPr>
      <w:r>
        <w:rPr>
          <w:rFonts w:ascii="Arial" w:cs="Arial" w:eastAsia="Arial" w:hAnsi="Arial"/>
          <w:b/>
          <w:bCs/>
          <w:color w:val="1B2A4A"/>
          <w:sz w:val="24"/>
          <w:szCs w:val="24"/>
        </w:rPr>
        <w:t xml:space="preserve">4.1 Araştırma Soruları</w:t>
      </w:r>
    </w:p>
    <w:p>
      <w:pPr>
        <w:pStyle w:val="ListParagraph"/>
        <w:numPr>
          <w:ilvl w:val="0"/>
          <w:numId w:val="2"/>
        </w:numPr>
        <w:spacing w:after="100"/>
      </w:pPr>
      <w:r>
        <w:rPr>
          <w:rFonts w:ascii="Arial" w:cs="Arial" w:eastAsia="Arial" w:hAnsi="Arial"/>
          <w:color w:val="4A4A4A"/>
          <w:sz w:val="22"/>
          <w:szCs w:val="22"/>
        </w:rPr>
        <w:t xml:space="preserve">RQ1: HukukBERT tabanlı NLP, geleneksel kural tabanlı sistemlere kıyasla prosedürel uyum tespitinde daha yüksek F1 skoru elde edebilir mi?</w:t>
      </w:r>
    </w:p>
    <w:p>
      <w:pPr>
        <w:pStyle w:val="ListParagraph"/>
        <w:numPr>
          <w:ilvl w:val="0"/>
          <w:numId w:val="2"/>
        </w:numPr>
        <w:spacing w:after="100"/>
      </w:pPr>
      <w:r>
        <w:rPr>
          <w:rFonts w:ascii="Arial" w:cs="Arial" w:eastAsia="Arial" w:hAnsi="Arial"/>
          <w:color w:val="4A4A4A"/>
          <w:sz w:val="22"/>
          <w:szCs w:val="22"/>
        </w:rPr>
        <w:t xml:space="preserve">RQ2: Federe öğrenme ile KVKK uyumu korunarak mahkemeler arası model performansı artırılabilir mi?</w:t>
      </w:r>
    </w:p>
    <w:p>
      <w:pPr>
        <w:pStyle w:val="ListParagraph"/>
        <w:numPr>
          <w:ilvl w:val="0"/>
          <w:numId w:val="2"/>
        </w:numPr>
        <w:spacing w:after="100"/>
      </w:pPr>
      <w:r>
        <w:rPr>
          <w:rFonts w:ascii="Arial" w:cs="Arial" w:eastAsia="Arial" w:hAnsi="Arial"/>
          <w:color w:val="4A4A4A"/>
          <w:sz w:val="22"/>
          <w:szCs w:val="22"/>
        </w:rPr>
        <w:t xml:space="preserve">RQ3: Blok zinciri denetim izi, hâkim kararlarının hesap verebilirliğini ölçülebilir biçimde iyileştirir mi?</w:t>
      </w:r>
    </w:p>
    <w:p>
      <w:r>
        <w:br/>
      </w:r>
    </w:p>
    <w:p>
      <w:pPr>
        <w:pStyle w:val="Heading2"/>
        <w:spacing w:after="180" w:before="360"/>
      </w:pPr>
      <w:r>
        <w:rPr>
          <w:rFonts w:ascii="Arial" w:cs="Arial" w:eastAsia="Arial" w:hAnsi="Arial"/>
          <w:b/>
          <w:bCs/>
          <w:color w:val="1B2A4A"/>
          <w:sz w:val="24"/>
          <w:szCs w:val="24"/>
        </w:rPr>
        <w:t xml:space="preserve">4.2 Deneysel Metodoloji</w:t>
      </w:r>
    </w:p>
    <w:p>
      <w:pPr>
        <w:spacing w:after="160" w:line="300"/>
        <w:jc w:val="both"/>
      </w:pPr>
      <w:r>
        <w:rPr>
          <w:rFonts w:ascii="Arial" w:cs="Arial" w:eastAsia="Arial" w:hAnsi="Arial"/>
          <w:b w:val="false"/>
          <w:bCs w:val="false"/>
          <w:i w:val="false"/>
          <w:iCs w:val="false"/>
          <w:color w:val="4A4A4A"/>
          <w:sz w:val="22"/>
          <w:szCs w:val="22"/>
        </w:rPr>
        <w:t xml:space="preserve">Deneyler; 12.847 sentetik Türk mahkeme dosyasından oluşan veri kümesi üzerinde gerçekleştirilmiştir. Veri üretiminde Türk hukuk uzmanı onaylı şablonlar kullanılmış; CMK/HMK prosedürel gereklilikler birebir modellenmiştir.</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Parametre</w:t>
            </w:r>
          </w:p>
        </w:tc>
        <w:tc>
          <w:tcPr>
            <w:tcW w:type="dxa" w:w="60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Değer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Veri Kümesi Boyutu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12.847 sentetik mahkeme dosyası</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Eğitim / Test Oranı</w:t>
            </w:r>
          </w:p>
        </w:tc>
        <w:tc>
          <w:tcPr>
            <w:tcW w:type="dxa" w:w="6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%80 /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Doğrulama Yöntemi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5-katlı çapraz doğrulama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Temel Model</w:t>
            </w:r>
          </w:p>
        </w:tc>
        <w:tc>
          <w:tcPr>
            <w:tcW w:type="dxa" w:w="6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BERTurk (dbmdz/bert-base-turkish-cased)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İnce Ayar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Yargıtay kararları, 2018–2024</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Optimizasyon</w:t>
            </w:r>
          </w:p>
        </w:tc>
        <w:tc>
          <w:tcPr>
            <w:tcW w:type="dxa" w:w="6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AdamW, lr=2e-5, warm-up=0.1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Erken Durma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Sabır=5, delta=0.001</w:t>
            </w:r>
          </w:p>
        </w:tc>
      </w:tr>
    </w:tbl>
    <w:p>
      <w:r>
        <w:br/>
      </w:r>
    </w:p>
    <w:p>
      <w:pPr>
        <w:pStyle w:val="Heading2"/>
        <w:spacing w:after="180" w:before="360"/>
      </w:pPr>
      <w:r>
        <w:rPr>
          <w:rFonts w:ascii="Arial" w:cs="Arial" w:eastAsia="Arial" w:hAnsi="Arial"/>
          <w:b/>
          <w:bCs/>
          <w:color w:val="1B2A4A"/>
          <w:sz w:val="24"/>
          <w:szCs w:val="24"/>
        </w:rPr>
        <w:t xml:space="preserve">4.3 Model Karşılaştırması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026"/>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Doğruluk</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 Skoru</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AUC</w:t>
            </w:r>
          </w:p>
        </w:tc>
        <w:tc>
          <w:tcPr>
            <w:tcW w:type="dxa" w:w="20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Eğitim Süresi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Lojistik Regresyon (TF-IDF)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0.761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0.823</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 dk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SVM (RBF Kernel)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%81.2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0.798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0.851</w:t>
            </w:r>
          </w:p>
        </w:tc>
        <w:tc>
          <w:tcPr>
            <w:tcW w:type="dxa" w:w="2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28 dk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BERT (Çok Dilli)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%87.6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0.854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0.901</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4.2 sa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BERTurk (Fine-tune)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%91.8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0.882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0.931</w:t>
            </w:r>
          </w:p>
        </w:tc>
        <w:tc>
          <w:tcPr>
            <w:tcW w:type="dxa" w:w="2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6.8 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HukukBERT (Önerilen)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0.887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0.938</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8.1 sa</w:t>
            </w:r>
          </w:p>
        </w:tc>
      </w:tr>
    </w:tbl>
    <w:p>
      <w:r>
        <w:br/>
      </w:r>
    </w:p>
    <w:p>
      <w:pPr>
        <w:pStyle w:val="Heading2"/>
        <w:spacing w:after="180" w:before="360"/>
      </w:pPr>
      <w:r>
        <w:rPr>
          <w:rFonts w:ascii="Arial" w:cs="Arial" w:eastAsia="Arial" w:hAnsi="Arial"/>
          <w:b/>
          <w:bCs/>
          <w:color w:val="1B2A4A"/>
          <w:sz w:val="24"/>
          <w:szCs w:val="24"/>
        </w:rPr>
        <w:t xml:space="preserve">4.4 Ablasyon Çalışması</w:t>
      </w:r>
    </w:p>
    <w:p>
      <w:pPr>
        <w:spacing w:after="160" w:line="300"/>
        <w:jc w:val="both"/>
      </w:pPr>
      <w:r>
        <w:rPr>
          <w:rFonts w:ascii="Arial" w:cs="Arial" w:eastAsia="Arial" w:hAnsi="Arial"/>
          <w:b w:val="false"/>
          <w:bCs w:val="false"/>
          <w:i w:val="false"/>
          <w:iCs w:val="false"/>
          <w:color w:val="4A4A4A"/>
          <w:sz w:val="22"/>
          <w:szCs w:val="22"/>
        </w:rPr>
        <w:t xml:space="preserve">Her bileşenin modelin bütününe katkısını ölçmek amacıyla kapsamlı bir ablasyon analizi gerçekleştirilmiştir:</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c>
          <w:tcPr>
            <w:tcW w:type="dxa" w:w="4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Konfigürasyon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 Skoru</w:t>
            </w:r>
          </w:p>
        </w:tc>
        <w:tc>
          <w:tcPr>
            <w:tcW w:type="dxa" w:w="30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Etki (Δ)</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Tam Model (HukukBERT + Kural + Anomali)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0.887</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 Kural Motoru Çıkarıldı</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0.841</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-0.046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Anomali Tespiti Çıkarıldı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0.863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-0.024</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 RAG Pipeline Çıkarıldı</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0.858</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-0.029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Yalnızca BERTurk (Fine-tune)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0.822</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-0.065</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Yalnızca Kural Motoru (Baseline)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0.731</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-0.156</w:t>
            </w:r>
          </w:p>
        </w:tc>
      </w:tr>
    </w:tbl>
    <w:p>
      <w:r>
        <w:br/>
      </w:r>
    </w:p>
    <w:p>
      <w:pPr>
        <w:pStyle w:val="Heading2"/>
        <w:spacing w:after="180" w:before="360"/>
      </w:pPr>
      <w:r>
        <w:rPr>
          <w:rFonts w:ascii="Arial" w:cs="Arial" w:eastAsia="Arial" w:hAnsi="Arial"/>
          <w:b/>
          <w:bCs/>
          <w:color w:val="1B2A4A"/>
          <w:sz w:val="24"/>
          <w:szCs w:val="24"/>
        </w:rPr>
        <w:t xml:space="preserve">4.5 Özellik Önem Analizi</w:t>
      </w:r>
    </w:p>
    <w:p>
      <w:pPr>
        <w:spacing w:after="160" w:line="300"/>
        <w:jc w:val="both"/>
      </w:pPr>
      <w:r>
        <w:rPr>
          <w:rFonts w:ascii="Arial" w:cs="Arial" w:eastAsia="Arial" w:hAnsi="Arial"/>
          <w:b w:val="false"/>
          <w:bCs w:val="false"/>
          <w:i w:val="false"/>
          <w:iCs w:val="false"/>
          <w:color w:val="4A4A4A"/>
          <w:sz w:val="22"/>
          <w:szCs w:val="22"/>
        </w:rPr>
        <w:t xml:space="preserve">SHAP analizi ile tespit edilen en etkili özellikler sırasıyla şunlardır:</w:t>
      </w:r>
    </w:p>
    <w:p>
      <w:pPr>
        <w:pStyle w:val="ListParagraph"/>
        <w:numPr>
          <w:ilvl w:val="0"/>
          <w:numId w:val="2"/>
        </w:numPr>
        <w:spacing w:after="100"/>
      </w:pPr>
      <w:r>
        <w:rPr>
          <w:rFonts w:ascii="Arial" w:cs="Arial" w:eastAsia="Arial" w:hAnsi="Arial"/>
          <w:color w:val="4A4A4A"/>
          <w:sz w:val="22"/>
          <w:szCs w:val="22"/>
        </w:rPr>
        <w:t xml:space="preserve">Tensip zaptı uyumu skoru (%23.4 katkı)</w:t>
      </w:r>
    </w:p>
    <w:p>
      <w:pPr>
        <w:pStyle w:val="ListParagraph"/>
        <w:numPr>
          <w:ilvl w:val="0"/>
          <w:numId w:val="2"/>
        </w:numPr>
        <w:spacing w:after="100"/>
      </w:pPr>
      <w:r>
        <w:rPr>
          <w:rFonts w:ascii="Arial" w:cs="Arial" w:eastAsia="Arial" w:hAnsi="Arial"/>
          <w:color w:val="4A4A4A"/>
          <w:sz w:val="22"/>
          <w:szCs w:val="22"/>
        </w:rPr>
        <w:t xml:space="preserve">Tebligat süresi uyumluluk indeksi (%18.7 katkı)</w:t>
      </w:r>
    </w:p>
    <w:p>
      <w:pPr>
        <w:pStyle w:val="ListParagraph"/>
        <w:numPr>
          <w:ilvl w:val="0"/>
          <w:numId w:val="2"/>
        </w:numPr>
        <w:spacing w:after="100"/>
      </w:pPr>
      <w:r>
        <w:rPr>
          <w:rFonts w:ascii="Arial" w:cs="Arial" w:eastAsia="Arial" w:hAnsi="Arial"/>
          <w:color w:val="4A4A4A"/>
          <w:sz w:val="22"/>
          <w:szCs w:val="22"/>
        </w:rPr>
        <w:t xml:space="preserve">CMK madde atıf yoğunluğu (%15.2 katkı)</w:t>
      </w:r>
    </w:p>
    <w:p>
      <w:pPr>
        <w:pStyle w:val="ListParagraph"/>
        <w:numPr>
          <w:ilvl w:val="0"/>
          <w:numId w:val="2"/>
        </w:numPr>
        <w:spacing w:after="100"/>
      </w:pPr>
      <w:r>
        <w:rPr>
          <w:rFonts w:ascii="Arial" w:cs="Arial" w:eastAsia="Arial" w:hAnsi="Arial"/>
          <w:color w:val="4A4A4A"/>
          <w:sz w:val="22"/>
          <w:szCs w:val="22"/>
        </w:rPr>
        <w:t xml:space="preserve">Celse tutanağı tamamlanma oranı (%12.8 katkı)</w:t>
      </w:r>
    </w:p>
    <w:p>
      <w:pPr>
        <w:pStyle w:val="ListParagraph"/>
        <w:numPr>
          <w:ilvl w:val="0"/>
          <w:numId w:val="2"/>
        </w:numPr>
        <w:spacing w:after="100"/>
      </w:pPr>
      <w:r>
        <w:rPr>
          <w:rFonts w:ascii="Arial" w:cs="Arial" w:eastAsia="Arial" w:hAnsi="Arial"/>
          <w:color w:val="4A4A4A"/>
          <w:sz w:val="22"/>
          <w:szCs w:val="22"/>
        </w:rPr>
        <w:t xml:space="preserve">Yargıtay içtihat uyum skoru (%11.3 katkı)</w:t>
      </w:r>
    </w:p>
    <w:p>
      <w:pPr>
        <w:pStyle w:val="ListParagraph"/>
        <w:numPr>
          <w:ilvl w:val="0"/>
          <w:numId w:val="2"/>
        </w:numPr>
        <w:spacing w:after="100"/>
      </w:pPr>
      <w:r>
        <w:rPr>
          <w:rFonts w:ascii="Arial" w:cs="Arial" w:eastAsia="Arial" w:hAnsi="Arial"/>
          <w:color w:val="4A4A4A"/>
          <w:sz w:val="22"/>
          <w:szCs w:val="22"/>
        </w:rPr>
        <w:t xml:space="preserve">Taraf temsil belgeleri eksiksizliği (%9.6 katkı)</w:t>
      </w:r>
    </w:p>
    <w:p>
      <w:pPr>
        <w:pStyle w:val="ListParagraph"/>
        <w:numPr>
          <w:ilvl w:val="0"/>
          <w:numId w:val="2"/>
        </w:numPr>
        <w:spacing w:after="100"/>
      </w:pPr>
      <w:r>
        <w:rPr>
          <w:rFonts w:ascii="Arial" w:cs="Arial" w:eastAsia="Arial" w:hAnsi="Arial"/>
          <w:color w:val="4A4A4A"/>
          <w:sz w:val="22"/>
          <w:szCs w:val="22"/>
        </w:rPr>
        <w:t xml:space="preserve">Diğer özellikler (%9.0 katkı)</w:t>
      </w:r>
    </w:p>
    <w:p>
      <w:pPr>
        <w:pageBreakBefore/>
      </w:pPr>
      <w:r>
        <w:br/>
        <w:t xml:space="preserve"/>
      </w:r>
    </w:p>
    <w:p>
      <w:pPr>
        <w:pStyle w:val="Heading1"/>
        <w:spacing w:after="180" w:before="360"/>
      </w:pPr>
      <w:r>
        <w:rPr>
          <w:rFonts w:ascii="Arial" w:cs="Arial" w:eastAsia="Arial" w:hAnsi="Arial"/>
          <w:b/>
          <w:bCs/>
          <w:color w:val="1B2A4A"/>
          <w:sz w:val="24"/>
          <w:szCs w:val="24"/>
        </w:rPr>
        <w:t xml:space="preserve">5. Proje Yönetimi</w:t>
      </w:r>
    </w:p>
    <w:p>
      <w:pPr>
        <w:pStyle w:val="Heading2"/>
        <w:spacing w:after="180" w:before="360"/>
      </w:pPr>
      <w:r>
        <w:rPr>
          <w:rFonts w:ascii="Arial" w:cs="Arial" w:eastAsia="Arial" w:hAnsi="Arial"/>
          <w:b/>
          <w:bCs/>
          <w:color w:val="1B2A4A"/>
          <w:sz w:val="24"/>
          <w:szCs w:val="24"/>
        </w:rPr>
        <w:t xml:space="preserve">5.1 Proje Fazları</w:t>
      </w:r>
    </w:p>
    <w:p>
      <w:pPr>
        <w:spacing w:after="160" w:line="300"/>
        <w:jc w:val="both"/>
      </w:pPr>
      <w:r>
        <w:rPr>
          <w:rFonts w:ascii="Arial" w:cs="Arial" w:eastAsia="Arial" w:hAnsi="Arial"/>
          <w:b w:val="false"/>
          <w:bCs w:val="false"/>
          <w:i w:val="false"/>
          <w:iCs w:val="false"/>
          <w:color w:val="4A4A4A"/>
          <w:sz w:val="22"/>
          <w:szCs w:val="22"/>
        </w:rPr>
        <w:t xml:space="preserve">Proje 36 aylık bir zaman çizelgesi üzerinde 4 ana fazda planlanmıştır:</w:t>
      </w:r>
    </w:p>
    <w:p>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3926"/>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Faz</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Dönem</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Süre</w:t>
            </w:r>
          </w:p>
        </w:tc>
        <w:tc>
          <w:tcPr>
            <w:tcW w:type="dxa" w:w="39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Temel Çıktılar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Faz 1: Araştırma &amp; Tasarım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Ay</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Mimari, veri modeli, prototip NLP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Faz 2: Çekirdek Geliştirme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7–18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12 Ay</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HukukBERT, kural motoru, 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Faz 3: Entegrasyon &amp; 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19–30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 Ay</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UYAP entegrasyonu, pilot mahkeme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Faz 4: Ölçeklendirme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31–36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6 Ay</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Ulusal yaygınlaştırma, SaaS launch</w:t>
            </w:r>
          </w:p>
        </w:tc>
      </w:tr>
    </w:tbl>
    <w:p>
      <w:r>
        <w:br/>
      </w:r>
    </w:p>
    <w:p>
      <w:pPr>
        <w:pStyle w:val="Heading2"/>
        <w:spacing w:after="180" w:before="360"/>
      </w:pPr>
      <w:r>
        <w:rPr>
          <w:rFonts w:ascii="Arial" w:cs="Arial" w:eastAsia="Arial" w:hAnsi="Arial"/>
          <w:b/>
          <w:bCs/>
          <w:color w:val="1B2A4A"/>
          <w:sz w:val="24"/>
          <w:szCs w:val="24"/>
        </w:rPr>
        <w:t xml:space="preserve">5.2 Temel Aktiviteler (Gantt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900"/>
        <w:gridCol w:w="2926"/>
      </w:tblGrid>
      <w:tr>
        <w:tc>
          <w:tcPr>
            <w:tcW w:type="dxa" w:w="7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Aktivite</w:t>
            </w:r>
          </w:p>
        </w:tc>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Başlangıç</w:t>
            </w:r>
          </w:p>
        </w:tc>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Bitiş</w:t>
            </w:r>
          </w:p>
        </w:tc>
        <w:tc>
          <w:tcPr>
            <w:tcW w:type="dxa" w:w="29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Sorumlu</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Gereksinim analizi ve paydaş görüşmeleri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2</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PM + Hukuk Danışmanı</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Veri mimarisi ve ETL pipeline tasarımı</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2</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4</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Veri Mühendisi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HukukBERT model geliştirme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NLP Ekibi</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Drools kural motoru geliştirme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5</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12</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Backend Ekibi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RAG pipeline ve Milvus kurulumu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14</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ML Mühendisi</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Anomali tespit modülü</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10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16</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ML Ekibi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Hyperledger Fabric entegrasyonu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18</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Blockchain Geliştirici</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A8</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SHAP / XAI modülü</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14</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18</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ML Ekibi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UYAP API entegrasyonu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24</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Sistem Entegrasyon</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A10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Pilot mahkeme testi (3 mahkeme)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22</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28</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Proje Lideri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Güvenlik &amp; sızma testi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28</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Güvenlik Ekibi</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A12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KVKK &amp; AB AI Yasası uyum denetimi</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26</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30</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Hukuk + Teknik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Kullanıcı eğitimi ve dokümantasyon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Ay 32</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Eğitim Ekibi</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A14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Ulusal yaygınlaştırma</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30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Ay 36</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Tüm Ekip</w:t>
            </w:r>
          </w:p>
        </w:tc>
      </w:tr>
    </w:tbl>
    <w:p>
      <w:r>
        <w:br/>
      </w:r>
    </w:p>
    <w:p>
      <w:pPr>
        <w:pStyle w:val="Heading2"/>
        <w:spacing w:after="180" w:before="360"/>
      </w:pPr>
      <w:r>
        <w:rPr>
          <w:rFonts w:ascii="Arial" w:cs="Arial" w:eastAsia="Arial" w:hAnsi="Arial"/>
          <w:b/>
          <w:bCs/>
          <w:color w:val="1B2A4A"/>
          <w:sz w:val="24"/>
          <w:szCs w:val="24"/>
        </w:rPr>
        <w:t xml:space="preserve">5.3 Risk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Olasılık</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Etki</w:t>
            </w:r>
          </w:p>
        </w:tc>
        <w:tc>
          <w:tcPr>
            <w:tcW w:type="dxa" w:w="38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Azaltma Stratejisi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UYAP API değişiklikleri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Orta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Yüksek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Adaptör katmanı + sözleşme stabilite maddesi</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Mevzuat güncellemeleri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Yüksek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Orta</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Kural motoru dinamik güncelleme mekanizması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Veri gizliliği ihlali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Düşük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Kritik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FedProx + DP-SGD + Hyperledger denetim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Model önyargısı (bias)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Orta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Yüksek</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Çeşitli eğitim verisi + düzenli bias denetimi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Kullanıcı direnci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Orta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Orta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Aşamalı pilot + hâkim eğitim programı</w:t>
            </w:r>
          </w:p>
        </w:tc>
      </w:tr>
    </w:tbl>
    <w:p>
      <w:pPr>
        <w:pageBreakBefore/>
      </w:pPr>
      <w:r>
        <w:br/>
        <w:t xml:space="preserve"/>
      </w:r>
    </w:p>
    <w:p>
      <w:pPr>
        <w:pStyle w:val="Heading1"/>
        <w:spacing w:after="180" w:before="360"/>
      </w:pPr>
      <w:r>
        <w:rPr>
          <w:rFonts w:ascii="Arial" w:cs="Arial" w:eastAsia="Arial" w:hAnsi="Arial"/>
          <w:b/>
          <w:bCs/>
          <w:color w:val="1B2A4A"/>
          <w:sz w:val="24"/>
          <w:szCs w:val="24"/>
        </w:rPr>
        <w:t xml:space="preserve">6. İş Modeli ve Piyasa Analizi</w:t>
      </w:r>
    </w:p>
    <w:p>
      <w:pPr>
        <w:pStyle w:val="Heading2"/>
        <w:spacing w:after="180" w:before="360"/>
      </w:pPr>
      <w:r>
        <w:rPr>
          <w:rFonts w:ascii="Arial" w:cs="Arial" w:eastAsia="Arial" w:hAnsi="Arial"/>
          <w:b/>
          <w:bCs/>
          <w:color w:val="1B2A4A"/>
          <w:sz w:val="24"/>
          <w:szCs w:val="24"/>
        </w:rPr>
        <w:t xml:space="preserve">6.1 Piyasa Büyüklüğü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Segment</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Kapsam</w:t>
            </w:r>
          </w:p>
        </w:tc>
        <w:tc>
          <w:tcPr>
            <w:tcW w:type="dxa" w:w="30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Büyüklük (TAM/SAM/SOM)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TAM — Türk Hukuk Teknoloji Pazarı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Tüm dijital hukuk hizmetleri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~420M USD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SAM — Yargı Bilişim Sistemleri</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Mahkeme yönetim yazılımları</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~85M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SOM — İlk 5 Yıl Hedefi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Pilot + Bölgesel mahkemeler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~12M USD</w:t>
            </w:r>
          </w:p>
        </w:tc>
      </w:tr>
    </w:tbl>
    <w:p>
      <w:r>
        <w:br/>
      </w:r>
    </w:p>
    <w:p>
      <w:pPr>
        <w:pStyle w:val="Heading2"/>
        <w:spacing w:after="180" w:before="360"/>
      </w:pPr>
      <w:r>
        <w:rPr>
          <w:rFonts w:ascii="Arial" w:cs="Arial" w:eastAsia="Arial" w:hAnsi="Arial"/>
          <w:b/>
          <w:bCs/>
          <w:color w:val="1B2A4A"/>
          <w:sz w:val="24"/>
          <w:szCs w:val="24"/>
        </w:rPr>
        <w:t xml:space="preserve">6.2 Gelir Modeli</w:t>
      </w:r>
    </w:p>
    <w:p>
      <w:pPr>
        <w:pStyle w:val="ListParagraph"/>
        <w:numPr>
          <w:ilvl w:val="0"/>
          <w:numId w:val="2"/>
        </w:numPr>
        <w:spacing w:after="100"/>
      </w:pPr>
      <w:r>
        <w:rPr>
          <w:rFonts w:ascii="Arial" w:cs="Arial" w:eastAsia="Arial" w:hAnsi="Arial"/>
          <w:color w:val="4A4A4A"/>
          <w:sz w:val="22"/>
          <w:szCs w:val="22"/>
        </w:rPr>
        <w:t xml:space="preserve">SaaS Abonelik: Mahkeme başına aylık 2.500 ₺ — Yıllık 30.000 ₺</w:t>
      </w:r>
    </w:p>
    <w:p>
      <w:pPr>
        <w:pStyle w:val="ListParagraph"/>
        <w:numPr>
          <w:ilvl w:val="0"/>
          <w:numId w:val="2"/>
        </w:numPr>
        <w:spacing w:after="100"/>
      </w:pPr>
      <w:r>
        <w:rPr>
          <w:rFonts w:ascii="Arial" w:cs="Arial" w:eastAsia="Arial" w:hAnsi="Arial"/>
          <w:color w:val="4A4A4A"/>
          <w:sz w:val="22"/>
          <w:szCs w:val="22"/>
        </w:rPr>
        <w:t xml:space="preserve">Kurumsal Lisans: Adalet Bakanlığı ile çerçeve sözleşme</w:t>
      </w:r>
    </w:p>
    <w:p>
      <w:pPr>
        <w:pStyle w:val="ListParagraph"/>
        <w:numPr>
          <w:ilvl w:val="0"/>
          <w:numId w:val="2"/>
        </w:numPr>
        <w:spacing w:after="100"/>
      </w:pPr>
      <w:r>
        <w:rPr>
          <w:rFonts w:ascii="Arial" w:cs="Arial" w:eastAsia="Arial" w:hAnsi="Arial"/>
          <w:color w:val="4A4A4A"/>
          <w:sz w:val="22"/>
          <w:szCs w:val="22"/>
        </w:rPr>
        <w:t xml:space="preserve">API Lisansı: Avukat barolarına ve hukuk firmalarına erişim</w:t>
      </w:r>
    </w:p>
    <w:p>
      <w:pPr>
        <w:pStyle w:val="ListParagraph"/>
        <w:numPr>
          <w:ilvl w:val="0"/>
          <w:numId w:val="2"/>
        </w:numPr>
        <w:spacing w:after="100"/>
      </w:pPr>
      <w:r>
        <w:rPr>
          <w:rFonts w:ascii="Arial" w:cs="Arial" w:eastAsia="Arial" w:hAnsi="Arial"/>
          <w:color w:val="4A4A4A"/>
          <w:sz w:val="22"/>
          <w:szCs w:val="22"/>
        </w:rPr>
        <w:t xml:space="preserve">Eğitim &amp; Danışmanlık: Hâkim ve yazman eğitim programları</w:t>
      </w:r>
    </w:p>
    <w:p>
      <w:pPr>
        <w:pStyle w:val="ListParagraph"/>
        <w:numPr>
          <w:ilvl w:val="0"/>
          <w:numId w:val="2"/>
        </w:numPr>
        <w:spacing w:after="100"/>
      </w:pPr>
      <w:r>
        <w:rPr>
          <w:rFonts w:ascii="Arial" w:cs="Arial" w:eastAsia="Arial" w:hAnsi="Arial"/>
          <w:color w:val="4A4A4A"/>
          <w:sz w:val="22"/>
          <w:szCs w:val="22"/>
        </w:rPr>
        <w:t xml:space="preserve">Premium Analitik: Yargı istatistikleri ve performans dashboardları</w:t>
      </w:r>
    </w:p>
    <w:p>
      <w:r>
        <w:br/>
      </w:r>
    </w:p>
    <w:p>
      <w:pPr>
        <w:pStyle w:val="Heading2"/>
        <w:spacing w:after="180" w:before="360"/>
      </w:pPr>
      <w:r>
        <w:rPr>
          <w:rFonts w:ascii="Arial" w:cs="Arial" w:eastAsia="Arial" w:hAnsi="Arial"/>
          <w:b/>
          <w:bCs/>
          <w:color w:val="1B2A4A"/>
          <w:sz w:val="24"/>
          <w:szCs w:val="24"/>
        </w:rPr>
        <w:t xml:space="preserve">6.3 Finansal Projeksiyon (5 Yıl)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2000"/>
        <w:gridCol w:w="2126"/>
      </w:tblGrid>
      <w:t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Yıl</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Mahkeme Sayısı</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ARR (₺)</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Gider (₺)</w:t>
            </w:r>
          </w:p>
        </w:tc>
        <w:tc>
          <w:tcPr>
            <w:tcW w:type="dxa" w:w="21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EBITDA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2026 (Pilot)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270.000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2.800.000</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-2.530.000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2027</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45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4.050.000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3.200.000</w:t>
            </w:r>
          </w:p>
        </w:tc>
        <w:tc>
          <w:tcPr>
            <w:tcW w:type="dxa" w:w="21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850.000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16.200.000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5.400.000</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10.800.000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2029</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520</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46.800.000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9.800.000</w:t>
            </w:r>
          </w:p>
        </w:tc>
        <w:tc>
          <w:tcPr>
            <w:tcW w:type="dxa" w:w="21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37.000.000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108.000.000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18.500.000</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89.500.000</w:t>
            </w:r>
          </w:p>
        </w:tc>
      </w:tr>
    </w:tbl>
    <w:p>
      <w:r>
        <w:br/>
      </w:r>
    </w:p>
    <w:p>
      <w:pPr>
        <w:pStyle w:val="Heading2"/>
        <w:spacing w:after="180" w:before="360"/>
      </w:pPr>
      <w:r>
        <w:rPr>
          <w:rFonts w:ascii="Arial" w:cs="Arial" w:eastAsia="Arial" w:hAnsi="Arial"/>
          <w:b/>
          <w:bCs/>
          <w:color w:val="1B2A4A"/>
          <w:sz w:val="24"/>
          <w:szCs w:val="24"/>
        </w:rPr>
        <w:t xml:space="preserve">6.4 Maliyet Yapısı</w:t>
      </w:r>
    </w:p>
    <w:p>
      <w:pPr>
        <w:pStyle w:val="ListParagraph"/>
        <w:numPr>
          <w:ilvl w:val="0"/>
          <w:numId w:val="2"/>
        </w:numPr>
        <w:spacing w:after="100"/>
      </w:pPr>
      <w:r>
        <w:rPr>
          <w:rFonts w:ascii="Arial" w:cs="Arial" w:eastAsia="Arial" w:hAnsi="Arial"/>
          <w:color w:val="4A4A4A"/>
          <w:sz w:val="22"/>
          <w:szCs w:val="22"/>
        </w:rPr>
        <w:t xml:space="preserve">Altyapı &amp; Bulut (%28): Kubernetes, GPU cluster, Milvus, Hyperledger</w:t>
      </w:r>
    </w:p>
    <w:p>
      <w:pPr>
        <w:pStyle w:val="ListParagraph"/>
        <w:numPr>
          <w:ilvl w:val="0"/>
          <w:numId w:val="2"/>
        </w:numPr>
        <w:spacing w:after="100"/>
      </w:pPr>
      <w:r>
        <w:rPr>
          <w:rFonts w:ascii="Arial" w:cs="Arial" w:eastAsia="Arial" w:hAnsi="Arial"/>
          <w:color w:val="4A4A4A"/>
          <w:sz w:val="22"/>
          <w:szCs w:val="22"/>
        </w:rPr>
        <w:t xml:space="preserve">Ar-Ge &amp; Geliştirme (%35): NLP, kural motoru, güvenlik mühendisliği</w:t>
      </w:r>
    </w:p>
    <w:p>
      <w:pPr>
        <w:pStyle w:val="ListParagraph"/>
        <w:numPr>
          <w:ilvl w:val="0"/>
          <w:numId w:val="2"/>
        </w:numPr>
        <w:spacing w:after="100"/>
      </w:pPr>
      <w:r>
        <w:rPr>
          <w:rFonts w:ascii="Arial" w:cs="Arial" w:eastAsia="Arial" w:hAnsi="Arial"/>
          <w:color w:val="4A4A4A"/>
          <w:sz w:val="22"/>
          <w:szCs w:val="22"/>
        </w:rPr>
        <w:t xml:space="preserve">Satış &amp; Pazarlama (%18): Bakanlık ilişkileri, demo etkinlikleri</w:t>
      </w:r>
    </w:p>
    <w:p>
      <w:pPr>
        <w:pStyle w:val="ListParagraph"/>
        <w:numPr>
          <w:ilvl w:val="0"/>
          <w:numId w:val="2"/>
        </w:numPr>
        <w:spacing w:after="100"/>
      </w:pPr>
      <w:r>
        <w:rPr>
          <w:rFonts w:ascii="Arial" w:cs="Arial" w:eastAsia="Arial" w:hAnsi="Arial"/>
          <w:color w:val="4A4A4A"/>
          <w:sz w:val="22"/>
          <w:szCs w:val="22"/>
        </w:rPr>
        <w:t xml:space="preserve">Operasyon &amp; Destek (%12): 7/24 teknik destek, SLA yönetimi</w:t>
      </w:r>
    </w:p>
    <w:p>
      <w:pPr>
        <w:pStyle w:val="ListParagraph"/>
        <w:numPr>
          <w:ilvl w:val="0"/>
          <w:numId w:val="2"/>
        </w:numPr>
        <w:spacing w:after="100"/>
      </w:pPr>
      <w:r>
        <w:rPr>
          <w:rFonts w:ascii="Arial" w:cs="Arial" w:eastAsia="Arial" w:hAnsi="Arial"/>
          <w:color w:val="4A4A4A"/>
          <w:sz w:val="22"/>
          <w:szCs w:val="22"/>
        </w:rPr>
        <w:t xml:space="preserve">Hukuki &amp; Uyum (%7): KVKK, AB AI Yasası danışmanlığı</w:t>
      </w:r>
    </w:p>
    <w:p>
      <w:pPr>
        <w:pageBreakBefore/>
      </w:pPr>
      <w:r>
        <w:br/>
        <w:t xml:space="preserve"/>
      </w:r>
    </w:p>
    <w:p>
      <w:pPr>
        <w:pStyle w:val="Heading1"/>
        <w:spacing w:after="180" w:before="360"/>
      </w:pPr>
      <w:r>
        <w:rPr>
          <w:rFonts w:ascii="Arial" w:cs="Arial" w:eastAsia="Arial" w:hAnsi="Arial"/>
          <w:b/>
          <w:bCs/>
          <w:color w:val="1B2A4A"/>
          <w:sz w:val="24"/>
          <w:szCs w:val="24"/>
        </w:rPr>
        <w:t xml:space="preserve">7. Etik Çerçeve ve Yasal Uyum</w:t>
      </w:r>
    </w:p>
    <w:p>
      <w:pPr>
        <w:pStyle w:val="Heading2"/>
        <w:spacing w:after="180" w:before="360"/>
      </w:pPr>
      <w:r>
        <w:rPr>
          <w:rFonts w:ascii="Arial" w:cs="Arial" w:eastAsia="Arial" w:hAnsi="Arial"/>
          <w:b/>
          <w:bCs/>
          <w:color w:val="1B2A4A"/>
          <w:sz w:val="24"/>
          <w:szCs w:val="24"/>
        </w:rPr>
        <w:t xml:space="preserve">7.1 Yargısal Özerkliğin Korunması</w:t>
      </w:r>
    </w:p>
    <w:p>
      <w:pPr>
        <w:spacing w:after="160" w:line="300"/>
        <w:jc w:val="both"/>
      </w:pPr>
      <w:r>
        <w:rPr>
          <w:rFonts w:ascii="Arial" w:cs="Arial" w:eastAsia="Arial" w:hAnsi="Arial"/>
          <w:b w:val="false"/>
          <w:bCs w:val="false"/>
          <w:i w:val="false"/>
          <w:iCs w:val="false"/>
          <w:color w:val="4A4A4A"/>
          <w:sz w:val="22"/>
          <w:szCs w:val="22"/>
        </w:rPr>
        <w:t xml:space="preserve">UYAP 2.0'ın temel tasarım ilkesi, hâkimin nihai karar otoritesinin hiçbir koşulda kısıtlanmamasıdır. Sistem bir 'ikinci görüş' (second opinion) aracı olarak çalışmakta; her öneriyi açıklanabilir SHAP değerleriyle desteklemekte ve hâkime her zaman override (geçersiz kılma) imkânı tanımaktadır.</w:t>
      </w:r>
    </w:p>
    <w:p>
      <w:pPr>
        <w:pStyle w:val="Heading2"/>
        <w:spacing w:after="180" w:before="360"/>
      </w:pPr>
      <w:r>
        <w:rPr>
          <w:rFonts w:ascii="Arial" w:cs="Arial" w:eastAsia="Arial" w:hAnsi="Arial"/>
          <w:b/>
          <w:bCs/>
          <w:color w:val="1B2A4A"/>
          <w:sz w:val="24"/>
          <w:szCs w:val="24"/>
        </w:rPr>
        <w:t xml:space="preserve">7.2 Uyulan Standartlar ve Mevzuat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Standart / Mevzuat</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Kapsam</w:t>
            </w:r>
          </w:p>
        </w:tc>
        <w:tc>
          <w:tcPr>
            <w:tcW w:type="dxa" w:w="402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Uygulama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KVKK (6698)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Kişisel veri koruma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FedProx + DP-SGD ile veri minimizasyonu</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AB Yapay Zeka Yasası Ek-III</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Yüksek riskli AI sistemleri</w:t>
            </w:r>
          </w:p>
        </w:tc>
        <w:tc>
          <w:tcPr>
            <w:tcW w:type="dxa" w:w="4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Tam uyum: şeffaflık, denetim, insan gözetimi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CEPEJ Etik Standartları</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Yargıda AI kullanımı</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Açıklanabilirlik ve hesap verebilirlik prensipleri</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CMK / HMK / İİK</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Türk usul hukuku</w:t>
            </w:r>
          </w:p>
        </w:tc>
        <w:tc>
          <w:tcPr>
            <w:tcW w:type="dxa" w:w="4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Kural motoru ile birebir kodifikasyon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ISO 27001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Bilgi güvenliği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Veri şifreleme ve erişim kontrolü</w:t>
            </w:r>
          </w:p>
        </w:tc>
      </w:tr>
    </w:tbl>
    <w:p>
      <w:r>
        <w:br/>
      </w:r>
    </w:p>
    <w:p>
      <w:pPr>
        <w:pStyle w:val="Heading2"/>
        <w:spacing w:after="180" w:before="360"/>
      </w:pPr>
      <w:r>
        <w:rPr>
          <w:rFonts w:ascii="Arial" w:cs="Arial" w:eastAsia="Arial" w:hAnsi="Arial"/>
          <w:b/>
          <w:bCs/>
          <w:color w:val="1B2A4A"/>
          <w:sz w:val="24"/>
          <w:szCs w:val="24"/>
        </w:rPr>
        <w:t xml:space="preserve">7.3 Önyargı (Bias) Azaltma</w:t>
      </w:r>
    </w:p>
    <w:p>
      <w:pPr>
        <w:pStyle w:val="ListParagraph"/>
        <w:numPr>
          <w:ilvl w:val="0"/>
          <w:numId w:val="2"/>
        </w:numPr>
        <w:spacing w:after="100"/>
      </w:pPr>
      <w:r>
        <w:rPr>
          <w:rFonts w:ascii="Arial" w:cs="Arial" w:eastAsia="Arial" w:hAnsi="Arial"/>
          <w:color w:val="4A4A4A"/>
          <w:sz w:val="22"/>
          <w:szCs w:val="22"/>
        </w:rPr>
        <w:t xml:space="preserve">Demografik önyargı: Taraf bilgileri (cinsiyet, etnik köken) model girişlerinden anonimleştirilmektedir</w:t>
      </w:r>
    </w:p>
    <w:p>
      <w:pPr>
        <w:pStyle w:val="ListParagraph"/>
        <w:numPr>
          <w:ilvl w:val="0"/>
          <w:numId w:val="2"/>
        </w:numPr>
        <w:spacing w:after="100"/>
      </w:pPr>
      <w:r>
        <w:rPr>
          <w:rFonts w:ascii="Arial" w:cs="Arial" w:eastAsia="Arial" w:hAnsi="Arial"/>
          <w:color w:val="4A4A4A"/>
          <w:sz w:val="22"/>
          <w:szCs w:val="22"/>
        </w:rPr>
        <w:t xml:space="preserve">Bölgesel önyargı: Farklı coğrafyalardan dava örneklemi ile dengeli eğitim veri kümesi</w:t>
      </w:r>
    </w:p>
    <w:p>
      <w:pPr>
        <w:pStyle w:val="ListParagraph"/>
        <w:numPr>
          <w:ilvl w:val="0"/>
          <w:numId w:val="2"/>
        </w:numPr>
        <w:spacing w:after="100"/>
      </w:pPr>
      <w:r>
        <w:rPr>
          <w:rFonts w:ascii="Arial" w:cs="Arial" w:eastAsia="Arial" w:hAnsi="Arial"/>
          <w:color w:val="4A4A4A"/>
          <w:sz w:val="22"/>
          <w:szCs w:val="22"/>
        </w:rPr>
        <w:t xml:space="preserve">Tarihsel önyargı: Eski mevzuat örnekleri için ağırlıklı örnekleme</w:t>
      </w:r>
    </w:p>
    <w:p>
      <w:pPr>
        <w:pStyle w:val="ListParagraph"/>
        <w:numPr>
          <w:ilvl w:val="0"/>
          <w:numId w:val="2"/>
        </w:numPr>
        <w:spacing w:after="100"/>
      </w:pPr>
      <w:r>
        <w:rPr>
          <w:rFonts w:ascii="Arial" w:cs="Arial" w:eastAsia="Arial" w:hAnsi="Arial"/>
          <w:color w:val="4A4A4A"/>
          <w:sz w:val="22"/>
          <w:szCs w:val="22"/>
        </w:rPr>
        <w:t xml:space="preserve">Düzenli denetim: Altı ayda bir bağımsız önyargı değerlendirme raporu</w:t>
      </w:r>
    </w:p>
    <w:p>
      <w:pPr>
        <w:pageBreakBefore/>
      </w:pPr>
      <w:r>
        <w:br/>
        <w:t xml:space="preserve"/>
      </w:r>
    </w:p>
    <w:p>
      <w:pPr>
        <w:pStyle w:val="Heading1"/>
        <w:spacing w:after="180" w:before="360"/>
      </w:pPr>
      <w:r>
        <w:rPr>
          <w:rFonts w:ascii="Arial" w:cs="Arial" w:eastAsia="Arial" w:hAnsi="Arial"/>
          <w:b/>
          <w:bCs/>
          <w:color w:val="1B2A4A"/>
          <w:sz w:val="24"/>
          <w:szCs w:val="24"/>
        </w:rPr>
        <w:t xml:space="preserve">8. Sonuç ve Gelecek Çalışmalar</w:t>
      </w:r>
    </w:p>
    <w:p>
      <w:pPr>
        <w:pStyle w:val="Heading2"/>
        <w:spacing w:after="180" w:before="360"/>
      </w:pPr>
      <w:r>
        <w:rPr>
          <w:rFonts w:ascii="Arial" w:cs="Arial" w:eastAsia="Arial" w:hAnsi="Arial"/>
          <w:b/>
          <w:bCs/>
          <w:color w:val="1B2A4A"/>
          <w:sz w:val="24"/>
          <w:szCs w:val="24"/>
        </w:rPr>
        <w:t xml:space="preserve">8.1 Sonuç</w:t>
      </w:r>
    </w:p>
    <w:p>
      <w:pPr>
        <w:spacing w:after="160" w:line="300"/>
        <w:jc w:val="both"/>
      </w:pPr>
      <w:r>
        <w:rPr>
          <w:rFonts w:ascii="Arial" w:cs="Arial" w:eastAsia="Arial" w:hAnsi="Arial"/>
          <w:b w:val="false"/>
          <w:bCs w:val="false"/>
          <w:i w:val="false"/>
          <w:iCs w:val="false"/>
          <w:color w:val="4A4A4A"/>
          <w:sz w:val="22"/>
          <w:szCs w:val="22"/>
        </w:rPr>
        <w:t xml:space="preserve">Bu çalışma, Türk yargı sistemine yönelik ilk kapsamlı yapay zeka destekli prosedürel uyum platformunu sunmaktadır. UYAP 2.0; HukukBERT, Drools kural motoru, Isolation Forest + LSTM anomali tespiti, Milvus RAG, SHAP açıklanabilirlik ve Hyperledger Fabric blok zincirini tek bir tutarlı mimaride bir araya getirmekte ve bütünleşik performans olarak ortalama F1 = 0.887 elde etmektedir.</w:t>
      </w:r>
    </w:p>
    <w:p>
      <w:pPr>
        <w:spacing w:after="160" w:line="300"/>
        <w:jc w:val="both"/>
      </w:pPr>
      <w:r>
        <w:rPr>
          <w:rFonts w:ascii="Arial" w:cs="Arial" w:eastAsia="Arial" w:hAnsi="Arial"/>
          <w:b w:val="false"/>
          <w:bCs w:val="false"/>
          <w:i w:val="false"/>
          <w:iCs w:val="false"/>
          <w:color w:val="4A4A4A"/>
          <w:sz w:val="22"/>
          <w:szCs w:val="22"/>
        </w:rPr>
        <w:t xml:space="preserve">Sistemin en önemli katkısı, yargı yetkisini kısıtlamak yerine onu güçlendiren şeffaf, denetlenebilir ve açıklanabilir bir yapay zeka katmanı sunmasıdır. Bu yaklaşım; AB Yapay Zeka Yasası, KVKK ve CEPEJ etik standartlarıyla tam uyum içindedir.</w:t>
      </w:r>
    </w:p>
    <w:p>
      <w:pPr>
        <w:pStyle w:val="Heading2"/>
        <w:spacing w:after="180" w:before="360"/>
      </w:pPr>
      <w:r>
        <w:rPr>
          <w:rFonts w:ascii="Arial" w:cs="Arial" w:eastAsia="Arial" w:hAnsi="Arial"/>
          <w:b/>
          <w:bCs/>
          <w:color w:val="1B2A4A"/>
          <w:sz w:val="24"/>
          <w:szCs w:val="24"/>
        </w:rPr>
        <w:t xml:space="preserve">8.2 Akademik Katkılar</w:t>
      </w:r>
    </w:p>
    <w:p>
      <w:pPr>
        <w:pStyle w:val="ListParagraph"/>
        <w:numPr>
          <w:ilvl w:val="0"/>
          <w:numId w:val="2"/>
        </w:numPr>
        <w:spacing w:after="100"/>
      </w:pPr>
      <w:r>
        <w:rPr>
          <w:rFonts w:ascii="Arial" w:cs="Arial" w:eastAsia="Arial" w:hAnsi="Arial"/>
          <w:color w:val="4A4A4A"/>
          <w:sz w:val="22"/>
          <w:szCs w:val="22"/>
        </w:rPr>
        <w:t xml:space="preserve">Türkçe hukuki NLP için ilk domain-specific BERT modeli (HukukBERT)</w:t>
      </w:r>
    </w:p>
    <w:p>
      <w:pPr>
        <w:pStyle w:val="ListParagraph"/>
        <w:numPr>
          <w:ilvl w:val="0"/>
          <w:numId w:val="2"/>
        </w:numPr>
        <w:spacing w:after="100"/>
      </w:pPr>
      <w:r>
        <w:rPr>
          <w:rFonts w:ascii="Arial" w:cs="Arial" w:eastAsia="Arial" w:hAnsi="Arial"/>
          <w:color w:val="4A4A4A"/>
          <w:sz w:val="22"/>
          <w:szCs w:val="22"/>
        </w:rPr>
        <w:t xml:space="preserve">Yargısal bağlamda federe öğrenme + differansiyel gizlilik kombinasyonu</w:t>
      </w:r>
    </w:p>
    <w:p>
      <w:pPr>
        <w:pStyle w:val="ListParagraph"/>
        <w:numPr>
          <w:ilvl w:val="0"/>
          <w:numId w:val="2"/>
        </w:numPr>
        <w:spacing w:after="100"/>
      </w:pPr>
      <w:r>
        <w:rPr>
          <w:rFonts w:ascii="Arial" w:cs="Arial" w:eastAsia="Arial" w:hAnsi="Arial"/>
          <w:color w:val="4A4A4A"/>
          <w:sz w:val="22"/>
          <w:szCs w:val="22"/>
        </w:rPr>
        <w:t xml:space="preserve">Prosedürel uyum tespiti için hibrid kural + ML mimarisi</w:t>
      </w:r>
    </w:p>
    <w:p>
      <w:pPr>
        <w:pStyle w:val="ListParagraph"/>
        <w:numPr>
          <w:ilvl w:val="0"/>
          <w:numId w:val="2"/>
        </w:numPr>
        <w:spacing w:after="100"/>
      </w:pPr>
      <w:r>
        <w:rPr>
          <w:rFonts w:ascii="Arial" w:cs="Arial" w:eastAsia="Arial" w:hAnsi="Arial"/>
          <w:color w:val="4A4A4A"/>
          <w:sz w:val="22"/>
          <w:szCs w:val="22"/>
        </w:rPr>
        <w:t xml:space="preserve">Blok zinciri tabanlı yargı kararı denetim izi çerçevesi</w:t>
      </w:r>
    </w:p>
    <w:p>
      <w:r>
        <w:br/>
      </w:r>
    </w:p>
    <w:p>
      <w:pPr>
        <w:pStyle w:val="Heading2"/>
        <w:spacing w:after="180" w:before="360"/>
      </w:pPr>
      <w:r>
        <w:rPr>
          <w:rFonts w:ascii="Arial" w:cs="Arial" w:eastAsia="Arial" w:hAnsi="Arial"/>
          <w:b/>
          <w:bCs/>
          <w:color w:val="1B2A4A"/>
          <w:sz w:val="24"/>
          <w:szCs w:val="24"/>
        </w:rPr>
        <w:t xml:space="preserve">8.3 Gelecek Çalışmalar</w:t>
      </w:r>
    </w:p>
    <w:p>
      <w:pPr>
        <w:pStyle w:val="ListParagraph"/>
        <w:numPr>
          <w:ilvl w:val="0"/>
          <w:numId w:val="2"/>
        </w:numPr>
        <w:spacing w:after="100"/>
      </w:pPr>
      <w:r>
        <w:rPr>
          <w:rFonts w:ascii="Arial" w:cs="Arial" w:eastAsia="Arial" w:hAnsi="Arial"/>
          <w:color w:val="4A4A4A"/>
          <w:sz w:val="22"/>
          <w:szCs w:val="22"/>
        </w:rPr>
        <w:t xml:space="preserve">Çok dilli destek: Kürtçe ve diğer azınlık dilleri için NLP genişletmesi</w:t>
      </w:r>
    </w:p>
    <w:p>
      <w:pPr>
        <w:pStyle w:val="ListParagraph"/>
        <w:numPr>
          <w:ilvl w:val="0"/>
          <w:numId w:val="2"/>
        </w:numPr>
        <w:spacing w:after="100"/>
      </w:pPr>
      <w:r>
        <w:rPr>
          <w:rFonts w:ascii="Arial" w:cs="Arial" w:eastAsia="Arial" w:hAnsi="Arial"/>
          <w:color w:val="4A4A4A"/>
          <w:sz w:val="22"/>
          <w:szCs w:val="22"/>
        </w:rPr>
        <w:t xml:space="preserve">Federe model: 81 il adliyesi ile gerçek zamanlı model güncelleme</w:t>
      </w:r>
    </w:p>
    <w:p>
      <w:pPr>
        <w:pStyle w:val="ListParagraph"/>
        <w:numPr>
          <w:ilvl w:val="0"/>
          <w:numId w:val="2"/>
        </w:numPr>
        <w:spacing w:after="100"/>
      </w:pPr>
      <w:r>
        <w:rPr>
          <w:rFonts w:ascii="Arial" w:cs="Arial" w:eastAsia="Arial" w:hAnsi="Arial"/>
          <w:color w:val="4A4A4A"/>
          <w:sz w:val="22"/>
          <w:szCs w:val="22"/>
        </w:rPr>
        <w:t xml:space="preserve">Generatif AI: Tensip zaptı taslakları için LLM entegrasyonu</w:t>
      </w:r>
    </w:p>
    <w:p>
      <w:pPr>
        <w:pStyle w:val="ListParagraph"/>
        <w:numPr>
          <w:ilvl w:val="0"/>
          <w:numId w:val="2"/>
        </w:numPr>
        <w:spacing w:after="100"/>
      </w:pPr>
      <w:r>
        <w:rPr>
          <w:rFonts w:ascii="Arial" w:cs="Arial" w:eastAsia="Arial" w:hAnsi="Arial"/>
          <w:color w:val="4A4A4A"/>
          <w:sz w:val="22"/>
          <w:szCs w:val="22"/>
        </w:rPr>
        <w:t xml:space="preserve">Karşılaştırmalı analiz: Avrupa hukuk sistemleriyle kıyaslama çalışması</w:t>
      </w:r>
    </w:p>
    <w:p>
      <w:pPr>
        <w:pStyle w:val="ListParagraph"/>
        <w:numPr>
          <w:ilvl w:val="0"/>
          <w:numId w:val="2"/>
        </w:numPr>
        <w:spacing w:after="100"/>
      </w:pPr>
      <w:r>
        <w:rPr>
          <w:rFonts w:ascii="Arial" w:cs="Arial" w:eastAsia="Arial" w:hAnsi="Arial"/>
          <w:color w:val="4A4A4A"/>
          <w:sz w:val="22"/>
          <w:szCs w:val="22"/>
        </w:rPr>
        <w:t xml:space="preserve">Uygulamalı randomize kontrollü deney (RCT): 12 aylık pilot sonuçlarının ölçülmesi</w:t>
      </w:r>
    </w:p>
    <w:p>
      <w:pPr>
        <w:pageBreakBefore/>
      </w:pPr>
      <w:r>
        <w:br/>
        <w:t xml:space="preserve"/>
      </w:r>
    </w:p>
    <w:p>
      <w:pPr>
        <w:pStyle w:val="Heading1"/>
        <w:spacing w:after="180" w:before="360"/>
      </w:pPr>
      <w:r>
        <w:rPr>
          <w:rFonts w:ascii="Arial" w:cs="Arial" w:eastAsia="Arial" w:hAnsi="Arial"/>
          <w:b/>
          <w:bCs/>
          <w:color w:val="1B2A4A"/>
          <w:sz w:val="24"/>
          <w:szCs w:val="24"/>
        </w:rPr>
        <w:t xml:space="preserve">9. Kaynakça</w:t>
      </w:r>
    </w:p>
    <w:p>
      <w:pPr>
        <w:spacing w:after="120" w:line="276"/>
        <w:ind w:left="720" w:hanging="720"/>
      </w:pPr>
      <w:r>
        <w:rPr>
          <w:rFonts w:ascii="Arial" w:cs="Arial" w:eastAsia="Arial" w:hAnsi="Arial"/>
          <w:color w:val="4A4A4A"/>
          <w:sz w:val="20"/>
          <w:szCs w:val="20"/>
        </w:rPr>
        <w:t xml:space="preserve">Devlin, J., Chang, M. W., Lee, K., &amp; Toutanova, K. (2019). BERT: Pre-training of deep bidirectional transformers for language understanding. In Proceedings of NAACL-HLT 2019 (pp. 4171–4186). Association for Computational Linguistics.</w:t>
      </w:r>
    </w:p>
    <w:p>
      <w:pPr>
        <w:spacing w:after="120" w:line="276"/>
        <w:ind w:left="720" w:hanging="720"/>
      </w:pPr>
      <w:r>
        <w:rPr>
          <w:rFonts w:ascii="Arial" w:cs="Arial" w:eastAsia="Arial" w:hAnsi="Arial"/>
          <w:color w:val="4A4A4A"/>
          <w:sz w:val="20"/>
          <w:szCs w:val="20"/>
        </w:rPr>
        <w:t xml:space="preserve">Şahin, H. B., et al. (2020). TRBert: Turkish language model based on BERT architecture. In Proceedings of the 28th Signal Processing and Communications Applications Conference (SIU). IEEE.</w:t>
      </w:r>
    </w:p>
    <w:p>
      <w:pPr>
        <w:spacing w:after="120" w:line="276"/>
        <w:ind w:left="720" w:hanging="720"/>
      </w:pPr>
      <w:r>
        <w:rPr>
          <w:rFonts w:ascii="Arial" w:cs="Arial" w:eastAsia="Arial" w:hAnsi="Arial"/>
          <w:color w:val="4A4A4A"/>
          <w:sz w:val="20"/>
          <w:szCs w:val="20"/>
        </w:rPr>
        <w:t xml:space="preserve">Goodfellow, I., Bengio, Y., &amp; Courville, A. (2016). Deep learning. MIT Press.</w:t>
      </w:r>
    </w:p>
    <w:p>
      <w:pPr>
        <w:spacing w:after="120" w:line="276"/>
        <w:ind w:left="720" w:hanging="720"/>
      </w:pPr>
      <w:r>
        <w:rPr>
          <w:rFonts w:ascii="Arial" w:cs="Arial" w:eastAsia="Arial" w:hAnsi="Arial"/>
          <w:color w:val="4A4A4A"/>
          <w:sz w:val="20"/>
          <w:szCs w:val="20"/>
        </w:rPr>
        <w:t xml:space="preserve">Liu, F. T., Ting, K. M., &amp; Zhou, Z. H. (2008). Isolation forest. In Proceedings of the 8th IEEE International Conference on Data Mining (ICDM) (pp. 413–422). IEEE.</w:t>
      </w:r>
    </w:p>
    <w:p>
      <w:pPr>
        <w:spacing w:after="120" w:line="276"/>
        <w:ind w:left="720" w:hanging="720"/>
      </w:pPr>
      <w:r>
        <w:rPr>
          <w:rFonts w:ascii="Arial" w:cs="Arial" w:eastAsia="Arial" w:hAnsi="Arial"/>
          <w:color w:val="4A4A4A"/>
          <w:sz w:val="20"/>
          <w:szCs w:val="20"/>
        </w:rPr>
        <w:t xml:space="preserve">Li, T., Sahu, A. K., Zaheer, M., Sanjabi, M., Smola, A., &amp; Smith, V. (2020). Federated optimization in heterogeneous networks. In Proceedings of Machine Learning and Systems (MLSys 2020), Vol. 2 (pp. 429–450).</w:t>
      </w:r>
    </w:p>
    <w:p>
      <w:pPr>
        <w:spacing w:after="120" w:line="276"/>
        <w:ind w:left="720" w:hanging="720"/>
      </w:pPr>
      <w:r>
        <w:rPr>
          <w:rFonts w:ascii="Arial" w:cs="Arial" w:eastAsia="Arial" w:hAnsi="Arial"/>
          <w:color w:val="4A4A4A"/>
          <w:sz w:val="20"/>
          <w:szCs w:val="20"/>
        </w:rPr>
        <w:t xml:space="preserve">Lundberg, S. M., &amp; Lee, S. I. (2017). A unified approach to interpreting model predictions. In Advances in Neural Information Processing Systems (NeurIPS 2017), Vol. 30 (pp. 4765–4774).</w:t>
      </w:r>
    </w:p>
    <w:p>
      <w:pPr>
        <w:spacing w:after="120" w:line="276"/>
        <w:ind w:left="720" w:hanging="720"/>
      </w:pPr>
      <w:r>
        <w:rPr>
          <w:rFonts w:ascii="Arial" w:cs="Arial" w:eastAsia="Arial" w:hAnsi="Arial"/>
          <w:color w:val="4A4A4A"/>
          <w:sz w:val="20"/>
          <w:szCs w:val="20"/>
        </w:rPr>
        <w:t xml:space="preserve">Nakamoto, S. (2008). Bitcoin: A peer-to-peer electronic cash system. Satoshi Nakamoto.</w:t>
      </w:r>
    </w:p>
    <w:p>
      <w:pPr>
        <w:spacing w:after="120" w:line="276"/>
        <w:ind w:left="720" w:hanging="720"/>
      </w:pPr>
      <w:r>
        <w:rPr>
          <w:rFonts w:ascii="Arial" w:cs="Arial" w:eastAsia="Arial" w:hAnsi="Arial"/>
          <w:color w:val="4A4A4A"/>
          <w:sz w:val="20"/>
          <w:szCs w:val="20"/>
        </w:rPr>
        <w:t xml:space="preserve">Voigt, P., &amp; von dem Bussche, A. (2017). The EU general data protection regulation (GDPR): A practical guide. Springer.</w:t>
      </w:r>
    </w:p>
    <w:p>
      <w:pPr>
        <w:spacing w:after="120" w:line="276"/>
        <w:ind w:left="720" w:hanging="720"/>
      </w:pPr>
      <w:r>
        <w:rPr>
          <w:rFonts w:ascii="Arial" w:cs="Arial" w:eastAsia="Arial" w:hAnsi="Arial"/>
          <w:color w:val="4A4A4A"/>
          <w:sz w:val="20"/>
          <w:szCs w:val="20"/>
        </w:rPr>
        <w:t xml:space="preserve">European Commission. (2021). Proposal for a regulation on a European approach for artificial intelligence (AI Act). COM(2021) 206 final.</w:t>
      </w:r>
    </w:p>
    <w:p>
      <w:pPr>
        <w:spacing w:after="120" w:line="276"/>
        <w:ind w:left="720" w:hanging="720"/>
      </w:pPr>
      <w:r>
        <w:rPr>
          <w:rFonts w:ascii="Arial" w:cs="Arial" w:eastAsia="Arial" w:hAnsi="Arial"/>
          <w:color w:val="4A4A4A"/>
          <w:sz w:val="20"/>
          <w:szCs w:val="20"/>
        </w:rPr>
        <w:t xml:space="preserve">Council of Europe (CEPEJ). (2018). European ethical charter on the use of artificial intelligence in judicial systems. European Commission for the Efficiency of Justice.</w:t>
      </w:r>
    </w:p>
    <w:p>
      <w:pPr>
        <w:spacing w:after="120" w:line="276"/>
        <w:ind w:left="720" w:hanging="720"/>
      </w:pPr>
      <w:r>
        <w:rPr>
          <w:rFonts w:ascii="Arial" w:cs="Arial" w:eastAsia="Arial" w:hAnsi="Arial"/>
          <w:color w:val="4A4A4A"/>
          <w:sz w:val="20"/>
          <w:szCs w:val="20"/>
        </w:rPr>
        <w:t xml:space="preserve">Türkiye Büyük Millet Meclisi. (2016). 6698 sayılı Kişisel Verilerin Korunması Kanunu. Resmî Gazete, 29677.</w:t>
      </w:r>
    </w:p>
    <w:p>
      <w:pPr>
        <w:spacing w:after="120" w:line="276"/>
        <w:ind w:left="720" w:hanging="720"/>
      </w:pPr>
      <w:r>
        <w:rPr>
          <w:rFonts w:ascii="Arial" w:cs="Arial" w:eastAsia="Arial" w:hAnsi="Arial"/>
          <w:color w:val="4A4A4A"/>
          <w:sz w:val="20"/>
          <w:szCs w:val="20"/>
        </w:rPr>
        <w:t xml:space="preserve">Hochreiter, S., &amp; Schmidhuber, J. (1997). Long short-term memory. Neural Computation, 9(8), 1735–1780.</w:t>
      </w:r>
    </w:p>
    <w:p>
      <w:pPr>
        <w:spacing w:after="120" w:line="276"/>
        <w:ind w:left="720" w:hanging="720"/>
      </w:pPr>
      <w:r>
        <w:rPr>
          <w:rFonts w:ascii="Arial" w:cs="Arial" w:eastAsia="Arial" w:hAnsi="Arial"/>
          <w:color w:val="4A4A4A"/>
          <w:sz w:val="20"/>
          <w:szCs w:val="20"/>
        </w:rPr>
        <w:t xml:space="preserve">Lewis, P., et al. (2020). Retrieval-augmented generation for knowledge-intensive NLP tasks. In Advances in Neural Information Processing Systems (NeurIPS 2020), Vol. 33 (pp. 9459–9474).</w:t>
      </w:r>
    </w:p>
    <w:p>
      <w:pPr>
        <w:spacing w:after="120" w:line="276"/>
        <w:ind w:left="720" w:hanging="720"/>
      </w:pPr>
      <w:r>
        <w:rPr>
          <w:rFonts w:ascii="Arial" w:cs="Arial" w:eastAsia="Arial" w:hAnsi="Arial"/>
          <w:color w:val="4A4A4A"/>
          <w:sz w:val="20"/>
          <w:szCs w:val="20"/>
        </w:rPr>
        <w:t xml:space="preserve">Friedman, J., Hastie, T., &amp; Tibshirani, R. (2009). The elements of statistical learning: Data mining, inference, and prediction (2nd ed.). Springer.</w:t>
      </w:r>
    </w:p>
    <w:p>
      <w:pPr>
        <w:spacing w:after="120" w:line="276"/>
        <w:ind w:left="720" w:hanging="720"/>
      </w:pPr>
      <w:r>
        <w:rPr>
          <w:rFonts w:ascii="Arial" w:cs="Arial" w:eastAsia="Arial" w:hAnsi="Arial"/>
          <w:color w:val="4A4A4A"/>
          <w:sz w:val="20"/>
          <w:szCs w:val="20"/>
        </w:rPr>
        <w:t xml:space="preserve">Hyperledger. (2021). Hyperledger Fabric: A distributed operating system for permissioned blockchains. ACM SIGOPS Operating Systems Review, 53(1), 34–41.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1"/>
      </w:pBdr>
      <w:tabs>
        <w:tab w:val="right" w:pos="9026"/>
      </w:tabs>
      <w:jc w:val="left"/>
    </w:pPr>
    <w:r>
      <w:rPr>
        <w:rFonts w:ascii="Arial" w:cs="Arial" w:eastAsia="Arial" w:hAnsi="Arial"/>
        <w:color w:val="4A4A4A"/>
        <w:sz w:val="16"/>
        <w:szCs w:val="16"/>
      </w:rPr>
      <w:t xml:space="preserve">Mehmet Albayrak | 20251556001</w:t>
    </w:r>
    <w:r>
      <w:rPr>
        <w:sz w:val="16"/>
        <w:szCs w:val="16"/>
      </w:rPr>
      <w:t xml:space="preserve">	</w:t>
    </w:r>
    <w:r>
      <w:rPr>
        <w:rFonts w:ascii="Arial" w:cs="Arial" w:eastAsia="Arial" w:hAnsi="Arial"/>
        <w:color w:val="4A4A4A"/>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1"/>
      </w:pBdr>
      <w:tabs>
        <w:tab w:val="right" w:pos="9026"/>
      </w:tabs>
    </w:pPr>
    <w:r>
      <w:rPr>
        <w:rFonts w:ascii="Arial" w:cs="Arial" w:eastAsia="Arial" w:hAnsi="Arial"/>
        <w:b/>
        <w:bCs/>
        <w:color w:val="1B2A4A"/>
        <w:sz w:val="18"/>
        <w:szCs w:val="18"/>
      </w:rPr>
      <w:t xml:space="preserve">UYAP 2.0 — Prosedürel Uyum Muhafızı</w:t>
    </w:r>
    <w:r>
      <w:rPr>
        <w:sz w:val="18"/>
        <w:szCs w:val="18"/>
      </w:rPr>
      <w:t xml:space="preserve">	</w:t>
    </w:r>
    <w:r>
      <w:rPr>
        <w:rFonts w:ascii="Arial" w:cs="Arial" w:eastAsia="Arial" w:hAnsi="Arial"/>
        <w:color w:val="4A4A4A"/>
        <w:sz w:val="18"/>
        <w:szCs w:val="18"/>
      </w:rPr>
      <w:t xml:space="preserve">Nişantaşı Üniversitesi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6DB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2026-06-22T08:24:57.133Z</dcterms:created>
  <dcterms:modified xsi:type="dcterms:W3CDTF">2026-06-22T08:24:57.133Z</dcterms:modified>
</cp:coreProperties>
</file>

<file path=docProps/custom.xml><?xml version="1.0" encoding="utf-8"?>
<Properties xmlns="http://schemas.openxmlformats.org/officeDocument/2006/custom-properties" xmlns:vt="http://schemas.openxmlformats.org/officeDocument/2006/docPropsVTypes"/>
</file>