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20" w:line="360"/>
        <w:jc w:val="center"/>
      </w:pPr>
      <w:r>
        <w:rPr>
          <w:rFonts w:ascii="Times New Roman" w:cs="Times New Roman" w:eastAsia="Times New Roman" w:hAnsi="Times New Roman"/>
          <w:b/>
          <w:bCs/>
          <w:sz w:val="26"/>
          <w:szCs w:val="26"/>
        </w:rPr>
        <w:t xml:space="preserve">İSTANBUL NİŞANTAŞI ÜNİVERSİTESİ</w:t>
      </w:r>
    </w:p>
    <w:p>
      <w:pPr>
        <w:spacing w:after="120" w:line="360"/>
        <w:jc w:val="center"/>
      </w:pPr>
      <w:r>
        <w:rPr>
          <w:rFonts w:ascii="Times New Roman" w:cs="Times New Roman" w:eastAsia="Times New Roman" w:hAnsi="Times New Roman"/>
          <w:b/>
          <w:bCs/>
          <w:sz w:val="26"/>
          <w:szCs w:val="26"/>
        </w:rPr>
        <w:t xml:space="preserve">LİSANSÜSTÜ EĞİTİM ENSTİTÜSÜ</w:t>
      </w:r>
    </w:p>
    <w:p>
      <w:pPr>
        <w:spacing w:after="120" w:line="360"/>
        <w:jc w:val="center"/>
      </w:pPr>
      <w:r>
        <w:rPr>
          <w:rFonts w:ascii="Times New Roman" w:cs="Times New Roman" w:eastAsia="Times New Roman" w:hAnsi="Times New Roman"/>
          <w:b/>
          <w:bCs/>
          <w:sz w:val="24"/>
          <w:szCs w:val="24"/>
        </w:rPr>
        <w:t xml:space="preserve">YAPAY ZEKÂ YÜKSEK LİSANS PROGRAMI</w:t>
      </w:r>
    </w:p>
    <w:p>
      <w:pPr>
        <w:spacing w:after="100"/>
      </w:pPr>
    </w:p>
    <w:p>
      <w:pPr>
        <w:spacing w:after="100"/>
      </w:pPr>
    </w:p>
    <w:p>
      <w:pPr>
        <w:spacing w:after="120" w:line="360"/>
        <w:jc w:val="center"/>
      </w:pPr>
      <w:r>
        <w:rPr>
          <w:rFonts w:ascii="Times New Roman" w:cs="Times New Roman" w:eastAsia="Times New Roman" w:hAnsi="Times New Roman"/>
          <w:sz w:val="24"/>
          <w:szCs w:val="24"/>
        </w:rPr>
        <w:t xml:space="preserve">─────────────────────────────────────</w:t>
      </w:r>
    </w:p>
    <w:p>
      <w:pPr>
        <w:spacing w:after="100"/>
      </w:pPr>
    </w:p>
    <w:p>
      <w:pPr>
        <w:spacing w:after="120" w:line="360"/>
        <w:jc w:val="center"/>
      </w:pPr>
      <w:r>
        <w:rPr>
          <w:rFonts w:ascii="Times New Roman" w:cs="Times New Roman" w:eastAsia="Times New Roman" w:hAnsi="Times New Roman"/>
          <w:b/>
          <w:bCs/>
          <w:sz w:val="30"/>
          <w:szCs w:val="30"/>
        </w:rPr>
        <w:t xml:space="preserve">PROSEDÜREL UYUM MUHAFIZI (PUM):</w:t>
      </w:r>
    </w:p>
    <w:p>
      <w:pPr>
        <w:spacing w:after="120" w:line="360"/>
        <w:jc w:val="center"/>
      </w:pPr>
      <w:r>
        <w:rPr>
          <w:rFonts w:ascii="Times New Roman" w:cs="Times New Roman" w:eastAsia="Times New Roman" w:hAnsi="Times New Roman"/>
          <w:b/>
          <w:bCs/>
          <w:sz w:val="28"/>
          <w:szCs w:val="28"/>
        </w:rPr>
        <w:t xml:space="preserve">TÜRK YARGI SİSTEMİNDE YAPAY ZEKÂ DESTEKLİ</w:t>
      </w:r>
    </w:p>
    <w:p>
      <w:pPr>
        <w:spacing w:after="120" w:line="360"/>
        <w:jc w:val="center"/>
      </w:pPr>
      <w:r>
        <w:rPr>
          <w:rFonts w:ascii="Times New Roman" w:cs="Times New Roman" w:eastAsia="Times New Roman" w:hAnsi="Times New Roman"/>
          <w:b/>
          <w:bCs/>
          <w:sz w:val="28"/>
          <w:szCs w:val="28"/>
        </w:rPr>
        <w:t xml:space="preserve">HUKUKİ UYUM VE BELGE DOĞRULAMA SİSTEMİ</w:t>
      </w:r>
    </w:p>
    <w:p>
      <w:pPr>
        <w:spacing w:after="100"/>
      </w:pPr>
    </w:p>
    <w:p>
      <w:pPr>
        <w:spacing w:after="120" w:line="360"/>
        <w:jc w:val="center"/>
      </w:pPr>
      <w:r>
        <w:rPr>
          <w:rFonts w:ascii="Times New Roman" w:cs="Times New Roman" w:eastAsia="Times New Roman" w:hAnsi="Times New Roman"/>
          <w:sz w:val="24"/>
          <w:szCs w:val="24"/>
        </w:rPr>
        <w:t xml:space="preserve">─────────────────────────────────────</w:t>
      </w:r>
    </w:p>
    <w:p>
      <w:pPr>
        <w:spacing w:after="100"/>
      </w:pPr>
    </w:p>
    <w:p>
      <w:pPr>
        <w:spacing w:after="100"/>
      </w:pPr>
    </w:p>
    <w:p>
      <w:pPr>
        <w:spacing w:after="120" w:line="360"/>
        <w:jc w:val="center"/>
      </w:pPr>
      <w:r>
        <w:rPr>
          <w:rFonts w:ascii="Times New Roman" w:cs="Times New Roman" w:eastAsia="Times New Roman" w:hAnsi="Times New Roman"/>
          <w:b/>
          <w:bCs/>
          <w:sz w:val="24"/>
          <w:szCs w:val="24"/>
        </w:rPr>
        <w:t xml:space="preserve">BİTİRME PROJESİ / TEZ</w:t>
      </w:r>
    </w:p>
    <w:p>
      <w:pPr>
        <w:spacing w:after="100"/>
      </w:pPr>
    </w:p>
    <w:p>
      <w:pPr>
        <w:spacing w:after="100"/>
      </w:pPr>
    </w:p>
    <w:p>
      <w:pPr>
        <w:spacing w:after="120" w:line="360"/>
        <w:jc w:val="center"/>
      </w:pPr>
      <w:r>
        <w:rPr>
          <w:rFonts w:ascii="Times New Roman" w:cs="Times New Roman" w:eastAsia="Times New Roman" w:hAnsi="Times New Roman"/>
          <w:sz w:val="24"/>
          <w:szCs w:val="24"/>
        </w:rPr>
        <w:t xml:space="preserve">Hazırlayan: Mehmet</w:t>
      </w:r>
    </w:p>
    <w:p>
      <w:pPr>
        <w:spacing w:after="100"/>
      </w:pPr>
    </w:p>
    <w:p>
      <w:pPr>
        <w:spacing w:after="120" w:line="360"/>
        <w:jc w:val="center"/>
      </w:pPr>
      <w:r>
        <w:rPr>
          <w:rFonts w:ascii="Times New Roman" w:cs="Times New Roman" w:eastAsia="Times New Roman" w:hAnsi="Times New Roman"/>
          <w:b/>
          <w:bCs/>
          <w:sz w:val="24"/>
          <w:szCs w:val="24"/>
        </w:rPr>
        <w:t xml:space="preserve">Danışmanlar:</w:t>
      </w:r>
    </w:p>
    <w:p>
      <w:pPr>
        <w:spacing w:after="120" w:line="360"/>
        <w:jc w:val="center"/>
      </w:pPr>
      <w:r>
        <w:rPr>
          <w:rFonts w:ascii="Times New Roman" w:cs="Times New Roman" w:eastAsia="Times New Roman" w:hAnsi="Times New Roman"/>
          <w:sz w:val="24"/>
          <w:szCs w:val="24"/>
        </w:rPr>
        <w:t xml:space="preserve">Dr. Öğr. Üyesi Ulaş Vural</w:t>
      </w:r>
    </w:p>
    <w:p>
      <w:pPr>
        <w:spacing w:after="120" w:line="360"/>
        <w:jc w:val="center"/>
      </w:pPr>
      <w:r>
        <w:rPr>
          <w:rFonts w:ascii="Times New Roman" w:cs="Times New Roman" w:eastAsia="Times New Roman" w:hAnsi="Times New Roman"/>
          <w:sz w:val="24"/>
          <w:szCs w:val="24"/>
        </w:rPr>
        <w:t xml:space="preserve">Dr. Ali Özkurt</w:t>
      </w:r>
    </w:p>
    <w:p>
      <w:pPr>
        <w:spacing w:after="100"/>
      </w:pPr>
    </w:p>
    <w:p>
      <w:pPr>
        <w:spacing w:after="100"/>
      </w:pPr>
    </w:p>
    <w:p>
      <w:pPr>
        <w:spacing w:after="120" w:line="360"/>
        <w:jc w:val="center"/>
      </w:pPr>
      <w:r>
        <w:rPr>
          <w:rFonts w:ascii="Times New Roman" w:cs="Times New Roman" w:eastAsia="Times New Roman" w:hAnsi="Times New Roman"/>
          <w:sz w:val="24"/>
          <w:szCs w:val="24"/>
        </w:rPr>
        <w:t xml:space="preserve">İstanbul, Eylül 2026</w:t>
      </w:r>
    </w:p>
    <w:p>
      <w:r>
        <w:br w:type="page"/>
      </w:r>
    </w:p>
    <w:p>
      <w:pPr>
        <w:pStyle w:val="Heading1"/>
        <w:spacing w:after="120" w:before="300"/>
      </w:pPr>
      <w:r>
        <w:t xml:space="preserve">ÖZET</w:t>
      </w:r>
    </w:p>
    <w:p>
      <w:pPr>
        <w:spacing w:after="160" w:line="360"/>
        <w:ind w:firstLine="720"/>
        <w:jc w:val="both"/>
      </w:pPr>
      <w:r>
        <w:rPr>
          <w:rFonts w:ascii="Times New Roman" w:cs="Times New Roman" w:eastAsia="Times New Roman" w:hAnsi="Times New Roman"/>
          <w:sz w:val="24"/>
          <w:szCs w:val="24"/>
        </w:rPr>
        <w:t xml:space="preserve">Türkiye'de 40 milyonun üzerinde icra ve iflas dosyası ile yaklaşık 12 milyon bekleyen dava mevcuttur. Yalnızca 15.304 hâkim ve savcının bu devasa iş yükünü karşılaması fiilen olanaksız hâle gelmiştir. Hukuki belgelerdeki usul hatalarından kaynaklanan ret ve iade oranları %23–%31 bandında seyretmekte; bu durum hem iş yükünü katlamakta hem de adalete erişim hakkını zedelemektedir.</w:t>
      </w:r>
    </w:p>
    <w:p>
      <w:pPr>
        <w:spacing w:after="160" w:line="360"/>
        <w:ind w:firstLine="720"/>
        <w:jc w:val="both"/>
      </w:pPr>
      <w:r>
        <w:rPr>
          <w:rFonts w:ascii="Times New Roman" w:cs="Times New Roman" w:eastAsia="Times New Roman" w:hAnsi="Times New Roman"/>
          <w:sz w:val="24"/>
          <w:szCs w:val="24"/>
        </w:rPr>
        <w:t xml:space="preserve">Bu tez çalışması, söz konusu sistemik soruna yanıt olarak geliştirilen Prosedürel Uyum Muhafızı (PUM) platformunu kapsamlı biçimde sunmaktadır. PUM; BERTurk tabanlı özel alan dil modeli, Retrieval-Augmented Generation (RAG) mimarisi ve UYAP entegrasyonu üzerine inşa edilmiş, SaaS temelli bir yapay zekâ uyum denetim sistemidir. Dilekçe, dava dilekçesi ve resmi yazı gibi hukuki belgeler; usul gereklilikleri bakımından gerçek zamanlı olarak analiz edilmekte, eksiklikler kullanıcıya anlık bildirimlerle iletilmektedir.</w:t>
      </w:r>
    </w:p>
    <w:p>
      <w:pPr>
        <w:spacing w:after="160" w:line="360"/>
        <w:ind w:firstLine="720"/>
        <w:jc w:val="both"/>
      </w:pPr>
      <w:r>
        <w:rPr>
          <w:rFonts w:ascii="Times New Roman" w:cs="Times New Roman" w:eastAsia="Times New Roman" w:hAnsi="Times New Roman"/>
          <w:sz w:val="24"/>
          <w:szCs w:val="24"/>
        </w:rPr>
        <w:t xml:space="preserve">Sistem, 87.500 etiketli hukuki belge üzerinde eğitilmiş olup doğruluk oranı %98,0'e, F1 Makro skorunun 0,9033'e ve ROC-AUC değerinin 0,9712'ye ulaştığı gözlemlenmiştir. Bilgi erişim kalitesi açısından ise nDCG@5 skoru 0,58 ile BM25 taban çizgisinin (0,31) %87 üzerinde gerçekleşmiştir. AB Yapay Zekâ Yasası çerçevesinde yüksek riskli yapay zekâ sistemi olarak sınıflandırılan PUM; insan denetimi, açıklanabilirlik ve denetlenebilirlik ilkeleri doğrultusunda tasarlanmıştır. Platformun toplam adreslenebilir pazarı (TAM) yıllık yaklaşık 3.646 milyon TL olarak öngörülmektedir.</w:t>
      </w:r>
    </w:p>
    <w:p>
      <w:pPr>
        <w:spacing w:after="100"/>
      </w:pPr>
    </w:p>
    <w:p>
      <w:pPr>
        <w:spacing w:after="120" w:line="360"/>
        <w:jc w:val="both"/>
      </w:pPr>
      <w:r>
        <w:rPr>
          <w:rFonts w:ascii="Times New Roman" w:cs="Times New Roman" w:eastAsia="Times New Roman" w:hAnsi="Times New Roman"/>
          <w:b/>
          <w:bCs/>
          <w:sz w:val="24"/>
          <w:szCs w:val="24"/>
        </w:rPr>
        <w:t xml:space="preserve">Anahtar Sözcükler: </w:t>
      </w:r>
    </w:p>
    <w:p>
      <w:pPr>
        <w:spacing w:after="160" w:line="360"/>
        <w:ind w:firstLine="720"/>
        <w:jc w:val="both"/>
      </w:pPr>
      <w:r>
        <w:rPr>
          <w:rFonts w:ascii="Times New Roman" w:cs="Times New Roman" w:eastAsia="Times New Roman" w:hAnsi="Times New Roman"/>
          <w:sz w:val="24"/>
          <w:szCs w:val="24"/>
        </w:rPr>
        <w:t xml:space="preserve">Hukuki NLP, Prosedürel Uyum, UYAP, BERTurk, LegalTech, Yapay Zekâ Hukuku, RAG, EU AI Act, Türk Yargı Sistemi, Doküman Sınıflandırma</w:t>
      </w:r>
    </w:p>
    <w:p>
      <w:r>
        <w:br w:type="page"/>
      </w:r>
    </w:p>
    <w:p>
      <w:pPr>
        <w:pStyle w:val="Heading1"/>
        <w:spacing w:after="120" w:before="300"/>
      </w:pPr>
      <w:r>
        <w:t xml:space="preserve">ABSTRACT</w:t>
      </w:r>
    </w:p>
    <w:p>
      <w:pPr>
        <w:spacing w:after="160" w:line="360"/>
        <w:ind w:firstLine="720"/>
        <w:jc w:val="both"/>
      </w:pPr>
      <w:r>
        <w:rPr>
          <w:rFonts w:ascii="Times New Roman" w:cs="Times New Roman" w:eastAsia="Times New Roman" w:hAnsi="Times New Roman"/>
          <w:sz w:val="24"/>
          <w:szCs w:val="24"/>
        </w:rPr>
        <w:t xml:space="preserve">Turkey's judicial system faces a critical overload: over 40 million enforcement and bankruptcy files alongside approximately 12 million pending cases, with only 15,304 judges and prosecutors available. Procedural errors in legal documents result in rejection rates of 23–31%, compounding workloads and impeding access to justice.</w:t>
      </w:r>
    </w:p>
    <w:p>
      <w:pPr>
        <w:spacing w:after="160" w:line="360"/>
        <w:ind w:firstLine="720"/>
        <w:jc w:val="both"/>
      </w:pPr>
      <w:r>
        <w:rPr>
          <w:rFonts w:ascii="Times New Roman" w:cs="Times New Roman" w:eastAsia="Times New Roman" w:hAnsi="Times New Roman"/>
          <w:sz w:val="24"/>
          <w:szCs w:val="24"/>
        </w:rPr>
        <w:t xml:space="preserve">This thesis presents the Procedural Compliance Guardian (PUM), a SaaS-based AI compliance audit system built on a domain-adapted BERTurk language model, Retrieval-Augmented Generation (RAG) architecture, and UYAP integration. Legal documents — petitions, pleadings, and official submissions — are analyzed in real time for procedural compliance, with deficiencies instantly communicated to the user.</w:t>
      </w:r>
    </w:p>
    <w:p>
      <w:pPr>
        <w:spacing w:after="160" w:line="360"/>
        <w:ind w:firstLine="720"/>
        <w:jc w:val="both"/>
      </w:pPr>
      <w:r>
        <w:rPr>
          <w:rFonts w:ascii="Times New Roman" w:cs="Times New Roman" w:eastAsia="Times New Roman" w:hAnsi="Times New Roman"/>
          <w:sz w:val="24"/>
          <w:szCs w:val="24"/>
        </w:rPr>
        <w:t xml:space="preserve">Trained on 87,500 labeled legal documents, PUM achieves 98.0% accuracy, F1 Macro of 0.9033, and ROC-AUC of 0.9712. Information retrieval quality reaches nDCG@5 of 0.58, representing an 87% improvement over the BM25 baseline (0.31). Classified as a high-risk AI system under the EU AI Act, PUM is architected around human oversight, explainability, and auditability. The platform's total addressable market (TAM) is projected at approximately ₺3,646M annually.</w:t>
      </w:r>
    </w:p>
    <w:p>
      <w:pPr>
        <w:spacing w:after="100"/>
      </w:pPr>
    </w:p>
    <w:p>
      <w:pPr>
        <w:spacing w:after="120" w:line="360"/>
        <w:jc w:val="both"/>
      </w:pPr>
      <w:r>
        <w:rPr>
          <w:rFonts w:ascii="Times New Roman" w:cs="Times New Roman" w:eastAsia="Times New Roman" w:hAnsi="Times New Roman"/>
          <w:b/>
          <w:bCs/>
          <w:sz w:val="24"/>
          <w:szCs w:val="24"/>
        </w:rPr>
        <w:t xml:space="preserve">Keywords: </w:t>
      </w:r>
    </w:p>
    <w:p>
      <w:pPr>
        <w:spacing w:after="160" w:line="360"/>
        <w:ind w:firstLine="720"/>
        <w:jc w:val="both"/>
      </w:pPr>
      <w:r>
        <w:rPr>
          <w:rFonts w:ascii="Times New Roman" w:cs="Times New Roman" w:eastAsia="Times New Roman" w:hAnsi="Times New Roman"/>
          <w:sz w:val="24"/>
          <w:szCs w:val="24"/>
        </w:rPr>
        <w:t xml:space="preserve">Legal NLP, Procedural Compliance, UYAP, BERTurk, LegalTech, AI Law, RAG, EU AI Act, Turkish Judicial System, Document Classification</w:t>
      </w:r>
    </w:p>
    <w:p>
      <w:r>
        <w:br w:type="page"/>
      </w:r>
    </w:p>
    <w:p>
      <w:pPr>
        <w:pStyle w:val="Heading1"/>
        <w:spacing w:after="120" w:before="300"/>
      </w:pPr>
      <w:r>
        <w:t xml:space="preserve">İÇİNDEKİLER</w:t>
      </w:r>
    </w:p>
    <w:p>
      <w:pPr>
        <w:spacing w:after="160" w:line="360"/>
        <w:ind w:firstLine="720"/>
        <w:jc w:val="both"/>
      </w:pPr>
      <w:r>
        <w:rPr>
          <w:rFonts w:ascii="Times New Roman" w:cs="Times New Roman" w:eastAsia="Times New Roman" w:hAnsi="Times New Roman"/>
          <w:sz w:val="24"/>
          <w:szCs w:val="24"/>
        </w:rPr>
        <w:t xml:space="preserve">1. GİRİŞ</w:t>
      </w:r>
    </w:p>
    <w:p>
      <w:pPr>
        <w:spacing w:after="160" w:line="360"/>
        <w:ind w:firstLine="720"/>
        <w:jc w:val="both"/>
      </w:pPr>
      <w:r>
        <w:rPr>
          <w:rFonts w:ascii="Times New Roman" w:cs="Times New Roman" w:eastAsia="Times New Roman" w:hAnsi="Times New Roman"/>
          <w:sz w:val="24"/>
          <w:szCs w:val="24"/>
        </w:rPr>
        <w:t xml:space="preserve">   1.1. Araştırmanın Arka Planı ve Motivasyon</w:t>
      </w:r>
    </w:p>
    <w:p>
      <w:pPr>
        <w:spacing w:after="160" w:line="360"/>
        <w:ind w:firstLine="720"/>
        <w:jc w:val="both"/>
      </w:pPr>
      <w:r>
        <w:rPr>
          <w:rFonts w:ascii="Times New Roman" w:cs="Times New Roman" w:eastAsia="Times New Roman" w:hAnsi="Times New Roman"/>
          <w:sz w:val="24"/>
          <w:szCs w:val="24"/>
        </w:rPr>
        <w:t xml:space="preserve">   1.2. Araştırma Sorusu ve Amaçlar</w:t>
      </w:r>
    </w:p>
    <w:p>
      <w:pPr>
        <w:spacing w:after="160" w:line="360"/>
        <w:ind w:firstLine="720"/>
        <w:jc w:val="both"/>
      </w:pPr>
      <w:r>
        <w:rPr>
          <w:rFonts w:ascii="Times New Roman" w:cs="Times New Roman" w:eastAsia="Times New Roman" w:hAnsi="Times New Roman"/>
          <w:sz w:val="24"/>
          <w:szCs w:val="24"/>
        </w:rPr>
        <w:t xml:space="preserve">   1.3. Tezin Kapsamı ve Organizasyonu</w:t>
      </w:r>
    </w:p>
    <w:p>
      <w:pPr>
        <w:spacing w:after="160" w:line="360"/>
        <w:ind w:firstLine="720"/>
        <w:jc w:val="both"/>
      </w:pPr>
      <w:r>
        <w:rPr>
          <w:rFonts w:ascii="Times New Roman" w:cs="Times New Roman" w:eastAsia="Times New Roman" w:hAnsi="Times New Roman"/>
          <w:sz w:val="24"/>
          <w:szCs w:val="24"/>
        </w:rPr>
        <w:t xml:space="preserve">2. ALANYAZIN TARAMASI</w:t>
      </w:r>
    </w:p>
    <w:p>
      <w:pPr>
        <w:spacing w:after="160" w:line="360"/>
        <w:ind w:firstLine="720"/>
        <w:jc w:val="both"/>
      </w:pPr>
      <w:r>
        <w:rPr>
          <w:rFonts w:ascii="Times New Roman" w:cs="Times New Roman" w:eastAsia="Times New Roman" w:hAnsi="Times New Roman"/>
          <w:sz w:val="24"/>
          <w:szCs w:val="24"/>
        </w:rPr>
        <w:t xml:space="preserve">   2.1. Türkiye'de Yargı Dijitalleşmesi: UYAP</w:t>
      </w:r>
    </w:p>
    <w:p>
      <w:pPr>
        <w:spacing w:after="160" w:line="360"/>
        <w:ind w:firstLine="720"/>
        <w:jc w:val="both"/>
      </w:pPr>
      <w:r>
        <w:rPr>
          <w:rFonts w:ascii="Times New Roman" w:cs="Times New Roman" w:eastAsia="Times New Roman" w:hAnsi="Times New Roman"/>
          <w:sz w:val="24"/>
          <w:szCs w:val="24"/>
        </w:rPr>
        <w:t xml:space="preserve">   2.2. Hukuki NLP'de Dil Modelleri</w:t>
      </w:r>
    </w:p>
    <w:p>
      <w:pPr>
        <w:spacing w:after="160" w:line="360"/>
        <w:ind w:firstLine="720"/>
        <w:jc w:val="both"/>
      </w:pPr>
      <w:r>
        <w:rPr>
          <w:rFonts w:ascii="Times New Roman" w:cs="Times New Roman" w:eastAsia="Times New Roman" w:hAnsi="Times New Roman"/>
          <w:sz w:val="24"/>
          <w:szCs w:val="24"/>
        </w:rPr>
        <w:t xml:space="preserve">   2.3. Retrieval-Augmented Generation ve Hukuk</w:t>
      </w:r>
    </w:p>
    <w:p>
      <w:pPr>
        <w:spacing w:after="160" w:line="360"/>
        <w:ind w:firstLine="720"/>
        <w:jc w:val="both"/>
      </w:pPr>
      <w:r>
        <w:rPr>
          <w:rFonts w:ascii="Times New Roman" w:cs="Times New Roman" w:eastAsia="Times New Roman" w:hAnsi="Times New Roman"/>
          <w:sz w:val="24"/>
          <w:szCs w:val="24"/>
        </w:rPr>
        <w:t xml:space="preserve">   2.4. AB Yapay Zekâ Yasası ve Hukuki Yapay Zekâ Riskleri</w:t>
      </w:r>
    </w:p>
    <w:p>
      <w:pPr>
        <w:spacing w:after="160" w:line="360"/>
        <w:ind w:firstLine="720"/>
        <w:jc w:val="both"/>
      </w:pPr>
      <w:r>
        <w:rPr>
          <w:rFonts w:ascii="Times New Roman" w:cs="Times New Roman" w:eastAsia="Times New Roman" w:hAnsi="Times New Roman"/>
          <w:sz w:val="24"/>
          <w:szCs w:val="24"/>
        </w:rPr>
        <w:t xml:space="preserve">   2.5. Rekabet Ortamı: Mevcut LegalTech Çözümleri</w:t>
      </w:r>
    </w:p>
    <w:p>
      <w:pPr>
        <w:spacing w:after="160" w:line="360"/>
        <w:ind w:firstLine="720"/>
        <w:jc w:val="both"/>
      </w:pPr>
      <w:r>
        <w:rPr>
          <w:rFonts w:ascii="Times New Roman" w:cs="Times New Roman" w:eastAsia="Times New Roman" w:hAnsi="Times New Roman"/>
          <w:sz w:val="24"/>
          <w:szCs w:val="24"/>
        </w:rPr>
        <w:t xml:space="preserve">3. PROBLEM TANIMI VE SİSTEM GEREKSİNİMLERİ</w:t>
      </w:r>
    </w:p>
    <w:p>
      <w:pPr>
        <w:spacing w:after="160" w:line="360"/>
        <w:ind w:firstLine="720"/>
        <w:jc w:val="both"/>
      </w:pPr>
      <w:r>
        <w:rPr>
          <w:rFonts w:ascii="Times New Roman" w:cs="Times New Roman" w:eastAsia="Times New Roman" w:hAnsi="Times New Roman"/>
          <w:sz w:val="24"/>
          <w:szCs w:val="24"/>
        </w:rPr>
        <w:t xml:space="preserve">   3.1. Mevcut Durumun Analizi</w:t>
      </w:r>
    </w:p>
    <w:p>
      <w:pPr>
        <w:spacing w:after="160" w:line="360"/>
        <w:ind w:firstLine="720"/>
        <w:jc w:val="both"/>
      </w:pPr>
      <w:r>
        <w:rPr>
          <w:rFonts w:ascii="Times New Roman" w:cs="Times New Roman" w:eastAsia="Times New Roman" w:hAnsi="Times New Roman"/>
          <w:sz w:val="24"/>
          <w:szCs w:val="24"/>
        </w:rPr>
        <w:t xml:space="preserve">   3.2. Kullanıcı Gereksinimleri</w:t>
      </w:r>
    </w:p>
    <w:p>
      <w:pPr>
        <w:spacing w:after="160" w:line="360"/>
        <w:ind w:firstLine="720"/>
        <w:jc w:val="both"/>
      </w:pPr>
      <w:r>
        <w:rPr>
          <w:rFonts w:ascii="Times New Roman" w:cs="Times New Roman" w:eastAsia="Times New Roman" w:hAnsi="Times New Roman"/>
          <w:sz w:val="24"/>
          <w:szCs w:val="24"/>
        </w:rPr>
        <w:t xml:space="preserve">   3.3. Sistem Gereksinimleri</w:t>
      </w:r>
    </w:p>
    <w:p>
      <w:pPr>
        <w:spacing w:after="160" w:line="360"/>
        <w:ind w:firstLine="720"/>
        <w:jc w:val="both"/>
      </w:pPr>
      <w:r>
        <w:rPr>
          <w:rFonts w:ascii="Times New Roman" w:cs="Times New Roman" w:eastAsia="Times New Roman" w:hAnsi="Times New Roman"/>
          <w:sz w:val="24"/>
          <w:szCs w:val="24"/>
        </w:rPr>
        <w:t xml:space="preserve">4. SİSTEM MİMARİSİ</w:t>
      </w:r>
    </w:p>
    <w:p>
      <w:pPr>
        <w:spacing w:after="160" w:line="360"/>
        <w:ind w:firstLine="720"/>
        <w:jc w:val="both"/>
      </w:pPr>
      <w:r>
        <w:rPr>
          <w:rFonts w:ascii="Times New Roman" w:cs="Times New Roman" w:eastAsia="Times New Roman" w:hAnsi="Times New Roman"/>
          <w:sz w:val="24"/>
          <w:szCs w:val="24"/>
        </w:rPr>
        <w:t xml:space="preserve">   4.1. Genel Mimari Bakış</w:t>
      </w:r>
    </w:p>
    <w:p>
      <w:pPr>
        <w:spacing w:after="160" w:line="360"/>
        <w:ind w:firstLine="720"/>
        <w:jc w:val="both"/>
      </w:pPr>
      <w:r>
        <w:rPr>
          <w:rFonts w:ascii="Times New Roman" w:cs="Times New Roman" w:eastAsia="Times New Roman" w:hAnsi="Times New Roman"/>
          <w:sz w:val="24"/>
          <w:szCs w:val="24"/>
        </w:rPr>
        <w:t xml:space="preserve">   4.2. NLP Modülü: BERTurk Fine-Tuning</w:t>
      </w:r>
    </w:p>
    <w:p>
      <w:pPr>
        <w:spacing w:after="160" w:line="360"/>
        <w:ind w:firstLine="720"/>
        <w:jc w:val="both"/>
      </w:pPr>
      <w:r>
        <w:rPr>
          <w:rFonts w:ascii="Times New Roman" w:cs="Times New Roman" w:eastAsia="Times New Roman" w:hAnsi="Times New Roman"/>
          <w:sz w:val="24"/>
          <w:szCs w:val="24"/>
        </w:rPr>
        <w:t xml:space="preserve">   4.3. RAG Mimarisi</w:t>
      </w:r>
    </w:p>
    <w:p>
      <w:pPr>
        <w:spacing w:after="160" w:line="360"/>
        <w:ind w:firstLine="720"/>
        <w:jc w:val="both"/>
      </w:pPr>
      <w:r>
        <w:rPr>
          <w:rFonts w:ascii="Times New Roman" w:cs="Times New Roman" w:eastAsia="Times New Roman" w:hAnsi="Times New Roman"/>
          <w:sz w:val="24"/>
          <w:szCs w:val="24"/>
        </w:rPr>
        <w:t xml:space="preserve">   4.4. UYAP Entegrasyon Katmanı</w:t>
      </w:r>
    </w:p>
    <w:p>
      <w:pPr>
        <w:spacing w:after="160" w:line="360"/>
        <w:ind w:firstLine="720"/>
        <w:jc w:val="both"/>
      </w:pPr>
      <w:r>
        <w:rPr>
          <w:rFonts w:ascii="Times New Roman" w:cs="Times New Roman" w:eastAsia="Times New Roman" w:hAnsi="Times New Roman"/>
          <w:sz w:val="24"/>
          <w:szCs w:val="24"/>
        </w:rPr>
        <w:t xml:space="preserve">   4.5. Güvenlik ve Veri Mimarisi</w:t>
      </w:r>
    </w:p>
    <w:p>
      <w:pPr>
        <w:spacing w:after="160" w:line="360"/>
        <w:ind w:firstLine="720"/>
        <w:jc w:val="both"/>
      </w:pPr>
      <w:r>
        <w:rPr>
          <w:rFonts w:ascii="Times New Roman" w:cs="Times New Roman" w:eastAsia="Times New Roman" w:hAnsi="Times New Roman"/>
          <w:sz w:val="24"/>
          <w:szCs w:val="24"/>
        </w:rPr>
        <w:t xml:space="preserve">5. VERİ VE DENEYSEL YÖNTEM</w:t>
      </w:r>
    </w:p>
    <w:p>
      <w:pPr>
        <w:spacing w:after="160" w:line="360"/>
        <w:ind w:firstLine="720"/>
        <w:jc w:val="both"/>
      </w:pPr>
      <w:r>
        <w:rPr>
          <w:rFonts w:ascii="Times New Roman" w:cs="Times New Roman" w:eastAsia="Times New Roman" w:hAnsi="Times New Roman"/>
          <w:sz w:val="24"/>
          <w:szCs w:val="24"/>
        </w:rPr>
        <w:t xml:space="preserve">   5.1. Veri Seti Oluşturma</w:t>
      </w:r>
    </w:p>
    <w:p>
      <w:pPr>
        <w:spacing w:after="160" w:line="360"/>
        <w:ind w:firstLine="720"/>
        <w:jc w:val="both"/>
      </w:pPr>
      <w:r>
        <w:rPr>
          <w:rFonts w:ascii="Times New Roman" w:cs="Times New Roman" w:eastAsia="Times New Roman" w:hAnsi="Times New Roman"/>
          <w:sz w:val="24"/>
          <w:szCs w:val="24"/>
        </w:rPr>
        <w:t xml:space="preserve">   5.2. Eğitim Süreci</w:t>
      </w:r>
    </w:p>
    <w:p>
      <w:pPr>
        <w:spacing w:after="160" w:line="360"/>
        <w:ind w:firstLine="720"/>
        <w:jc w:val="both"/>
      </w:pPr>
      <w:r>
        <w:rPr>
          <w:rFonts w:ascii="Times New Roman" w:cs="Times New Roman" w:eastAsia="Times New Roman" w:hAnsi="Times New Roman"/>
          <w:sz w:val="24"/>
          <w:szCs w:val="24"/>
        </w:rPr>
        <w:t xml:space="preserve">   5.3. Değerlendirme Metrikleri</w:t>
      </w:r>
    </w:p>
    <w:p>
      <w:pPr>
        <w:spacing w:after="160" w:line="360"/>
        <w:ind w:firstLine="720"/>
        <w:jc w:val="both"/>
      </w:pPr>
      <w:r>
        <w:rPr>
          <w:rFonts w:ascii="Times New Roman" w:cs="Times New Roman" w:eastAsia="Times New Roman" w:hAnsi="Times New Roman"/>
          <w:sz w:val="24"/>
          <w:szCs w:val="24"/>
        </w:rPr>
        <w:t xml:space="preserve">6. SONUÇLAR VE ANALİZ</w:t>
      </w:r>
    </w:p>
    <w:p>
      <w:pPr>
        <w:spacing w:after="160" w:line="360"/>
        <w:ind w:firstLine="720"/>
        <w:jc w:val="both"/>
      </w:pPr>
      <w:r>
        <w:rPr>
          <w:rFonts w:ascii="Times New Roman" w:cs="Times New Roman" w:eastAsia="Times New Roman" w:hAnsi="Times New Roman"/>
          <w:sz w:val="24"/>
          <w:szCs w:val="24"/>
        </w:rPr>
        <w:t xml:space="preserve">   6.1. Model Performans Sonuçları</w:t>
      </w:r>
    </w:p>
    <w:p>
      <w:pPr>
        <w:spacing w:after="160" w:line="360"/>
        <w:ind w:firstLine="720"/>
        <w:jc w:val="both"/>
      </w:pPr>
      <w:r>
        <w:rPr>
          <w:rFonts w:ascii="Times New Roman" w:cs="Times New Roman" w:eastAsia="Times New Roman" w:hAnsi="Times New Roman"/>
          <w:sz w:val="24"/>
          <w:szCs w:val="24"/>
        </w:rPr>
        <w:t xml:space="preserve">   6.2. Karşılaştırmalı Analiz</w:t>
      </w:r>
    </w:p>
    <w:p>
      <w:pPr>
        <w:spacing w:after="160" w:line="360"/>
        <w:ind w:firstLine="720"/>
        <w:jc w:val="both"/>
      </w:pPr>
      <w:r>
        <w:rPr>
          <w:rFonts w:ascii="Times New Roman" w:cs="Times New Roman" w:eastAsia="Times New Roman" w:hAnsi="Times New Roman"/>
          <w:sz w:val="24"/>
          <w:szCs w:val="24"/>
        </w:rPr>
        <w:t xml:space="preserve">   6.3. Hata Analizi</w:t>
      </w:r>
    </w:p>
    <w:p>
      <w:pPr>
        <w:spacing w:after="160" w:line="360"/>
        <w:ind w:firstLine="720"/>
        <w:jc w:val="both"/>
      </w:pPr>
      <w:r>
        <w:rPr>
          <w:rFonts w:ascii="Times New Roman" w:cs="Times New Roman" w:eastAsia="Times New Roman" w:hAnsi="Times New Roman"/>
          <w:sz w:val="24"/>
          <w:szCs w:val="24"/>
        </w:rPr>
        <w:t xml:space="preserve">7. ETİK VE UYUM ÇERÇEVESİ</w:t>
      </w:r>
    </w:p>
    <w:p>
      <w:pPr>
        <w:spacing w:after="160" w:line="360"/>
        <w:ind w:firstLine="720"/>
        <w:jc w:val="both"/>
      </w:pPr>
      <w:r>
        <w:rPr>
          <w:rFonts w:ascii="Times New Roman" w:cs="Times New Roman" w:eastAsia="Times New Roman" w:hAnsi="Times New Roman"/>
          <w:sz w:val="24"/>
          <w:szCs w:val="24"/>
        </w:rPr>
        <w:t xml:space="preserve">   7.1. AB Yapay Zekâ Yasası Uyumluluk Analizi</w:t>
      </w:r>
    </w:p>
    <w:p>
      <w:pPr>
        <w:spacing w:after="160" w:line="360"/>
        <w:ind w:firstLine="720"/>
        <w:jc w:val="both"/>
      </w:pPr>
      <w:r>
        <w:rPr>
          <w:rFonts w:ascii="Times New Roman" w:cs="Times New Roman" w:eastAsia="Times New Roman" w:hAnsi="Times New Roman"/>
          <w:sz w:val="24"/>
          <w:szCs w:val="24"/>
        </w:rPr>
        <w:t xml:space="preserve">   7.2. KVKK / GDPR Uyumu</w:t>
      </w:r>
    </w:p>
    <w:p>
      <w:pPr>
        <w:spacing w:after="160" w:line="360"/>
        <w:ind w:firstLine="720"/>
        <w:jc w:val="both"/>
      </w:pPr>
      <w:r>
        <w:rPr>
          <w:rFonts w:ascii="Times New Roman" w:cs="Times New Roman" w:eastAsia="Times New Roman" w:hAnsi="Times New Roman"/>
          <w:sz w:val="24"/>
          <w:szCs w:val="24"/>
        </w:rPr>
        <w:t xml:space="preserve">   7.3. Barolar ve Mesleki Etik</w:t>
      </w:r>
    </w:p>
    <w:p>
      <w:pPr>
        <w:spacing w:after="160" w:line="360"/>
        <w:ind w:firstLine="720"/>
        <w:jc w:val="both"/>
      </w:pPr>
      <w:r>
        <w:rPr>
          <w:rFonts w:ascii="Times New Roman" w:cs="Times New Roman" w:eastAsia="Times New Roman" w:hAnsi="Times New Roman"/>
          <w:sz w:val="24"/>
          <w:szCs w:val="24"/>
        </w:rPr>
        <w:t xml:space="preserve">8. PİYASA VE İŞ MODELİ ANALİZİ</w:t>
      </w:r>
    </w:p>
    <w:p>
      <w:pPr>
        <w:spacing w:after="160" w:line="360"/>
        <w:ind w:firstLine="720"/>
        <w:jc w:val="both"/>
      </w:pPr>
      <w:r>
        <w:rPr>
          <w:rFonts w:ascii="Times New Roman" w:cs="Times New Roman" w:eastAsia="Times New Roman" w:hAnsi="Times New Roman"/>
          <w:sz w:val="24"/>
          <w:szCs w:val="24"/>
        </w:rPr>
        <w:t xml:space="preserve">   8.1. Pazar Büyüklüğü (TAM/SAM/SOM)</w:t>
      </w:r>
    </w:p>
    <w:p>
      <w:pPr>
        <w:spacing w:after="160" w:line="360"/>
        <w:ind w:firstLine="720"/>
        <w:jc w:val="both"/>
      </w:pPr>
      <w:r>
        <w:rPr>
          <w:rFonts w:ascii="Times New Roman" w:cs="Times New Roman" w:eastAsia="Times New Roman" w:hAnsi="Times New Roman"/>
          <w:sz w:val="24"/>
          <w:szCs w:val="24"/>
        </w:rPr>
        <w:t xml:space="preserve">   8.2. İş Modeli ve Gelir Akışları</w:t>
      </w:r>
    </w:p>
    <w:p>
      <w:pPr>
        <w:spacing w:after="160" w:line="360"/>
        <w:ind w:firstLine="720"/>
        <w:jc w:val="both"/>
      </w:pPr>
      <w:r>
        <w:rPr>
          <w:rFonts w:ascii="Times New Roman" w:cs="Times New Roman" w:eastAsia="Times New Roman" w:hAnsi="Times New Roman"/>
          <w:sz w:val="24"/>
          <w:szCs w:val="24"/>
        </w:rPr>
        <w:t xml:space="preserve">   8.3. Finansal Projeksiyon</w:t>
      </w:r>
    </w:p>
    <w:p>
      <w:pPr>
        <w:spacing w:after="160" w:line="360"/>
        <w:ind w:firstLine="720"/>
        <w:jc w:val="both"/>
      </w:pPr>
      <w:r>
        <w:rPr>
          <w:rFonts w:ascii="Times New Roman" w:cs="Times New Roman" w:eastAsia="Times New Roman" w:hAnsi="Times New Roman"/>
          <w:sz w:val="24"/>
          <w:szCs w:val="24"/>
        </w:rPr>
        <w:t xml:space="preserve">9. TARTIŞMA</w:t>
      </w:r>
    </w:p>
    <w:p>
      <w:pPr>
        <w:spacing w:after="160" w:line="360"/>
        <w:ind w:firstLine="720"/>
        <w:jc w:val="both"/>
      </w:pPr>
      <w:r>
        <w:rPr>
          <w:rFonts w:ascii="Times New Roman" w:cs="Times New Roman" w:eastAsia="Times New Roman" w:hAnsi="Times New Roman"/>
          <w:sz w:val="24"/>
          <w:szCs w:val="24"/>
        </w:rPr>
        <w:t xml:space="preserve">10. SONUÇ VE GELECEKTEKİ ÇALIŞMALAR</w:t>
      </w:r>
    </w:p>
    <w:p>
      <w:pPr>
        <w:spacing w:after="160" w:line="360"/>
        <w:ind w:firstLine="720"/>
        <w:jc w:val="both"/>
      </w:pPr>
      <w:r>
        <w:rPr>
          <w:rFonts w:ascii="Times New Roman" w:cs="Times New Roman" w:eastAsia="Times New Roman" w:hAnsi="Times New Roman"/>
          <w:sz w:val="24"/>
          <w:szCs w:val="24"/>
        </w:rPr>
        <w:t xml:space="preserve">KAYNAKÇA</w:t>
      </w:r>
    </w:p>
    <w:p>
      <w:r>
        <w:br w:type="page"/>
      </w:r>
    </w:p>
    <w:p>
      <w:pPr>
        <w:pStyle w:val="Heading1"/>
        <w:spacing w:after="120" w:before="300"/>
      </w:pPr>
      <w:r>
        <w:t xml:space="preserve">1. GİRİŞ</w:t>
      </w:r>
    </w:p>
    <w:p>
      <w:pPr>
        <w:pStyle w:val="Heading2"/>
        <w:spacing w:after="120" w:before="300"/>
      </w:pPr>
      <w:r>
        <w:t xml:space="preserve">1.1. Araştırmanın Arka Planı ve Motivasyon</w:t>
      </w:r>
    </w:p>
    <w:p>
      <w:pPr>
        <w:spacing w:after="160" w:line="360"/>
        <w:ind w:firstLine="720"/>
        <w:jc w:val="both"/>
      </w:pPr>
      <w:r>
        <w:rPr>
          <w:rFonts w:ascii="Times New Roman" w:cs="Times New Roman" w:eastAsia="Times New Roman" w:hAnsi="Times New Roman"/>
          <w:sz w:val="24"/>
          <w:szCs w:val="24"/>
        </w:rPr>
        <w:t xml:space="preserve">Türkiye, dünya genelindeki en yüksek yargı iş yüklerinden birine sahip ülkeler arasında yer almaktadır. Türkiye Adalet Bakanlığı'nın 2025 yılı verilerine göre, ülke genelinde 40 milyonun üzerinde icra ve iflas dosyası ve yaklaşık 12 milyon bekleyen dava mevcuttur (Veri, Güç ve Adalet: Hukukta Yapay Zekâ, 2025). Bu hacim, mevcut 15.304 hâkim ve savcının kapasitesini çok aşmaktadır; ceza mahkemelerine her gün ortalama 3.300 yeni dosya gelmektedir. Sistemik gecikmelerin yanı sıra, belge redlerinin önemli bir payı —tahminlere göre %23 ile %31 arasında— doğrudan usul hatalarından kaynaklanmaktadır.</w:t>
      </w:r>
    </w:p>
    <w:p>
      <w:pPr>
        <w:spacing w:after="160" w:line="360"/>
        <w:ind w:firstLine="720"/>
        <w:jc w:val="both"/>
      </w:pPr>
      <w:r>
        <w:rPr>
          <w:rFonts w:ascii="Times New Roman" w:cs="Times New Roman" w:eastAsia="Times New Roman" w:hAnsi="Times New Roman"/>
          <w:sz w:val="24"/>
          <w:szCs w:val="24"/>
        </w:rPr>
        <w:t xml:space="preserve">Hukuki usul uyumu, Türk hukuk sisteminin yapısal bir kırılganlığını oluşturmaktadır. Hukuk Muhakemeleri Kanunu (HMK), Ceza Muhakemesi Kanunu (CMK) ve İdari Yargılama Usulü Kanunu (İYUK) kapsamında şekil şartları son derece ayrıntılı düzenlenmiştir. Bu gerekliliklerin manuel olarak kontrol edilmesi; zaman yoğun, hata eğilimli ve ölçeklenemez bir süreçtir. Nitekim avukatların zamanlarının yaklaşık %40'ını usul denetimi ve belge formatlamaya harcadıkları bilinmektedir.</w:t>
      </w:r>
    </w:p>
    <w:p>
      <w:pPr>
        <w:spacing w:after="160" w:line="360"/>
        <w:ind w:firstLine="720"/>
        <w:jc w:val="both"/>
      </w:pPr>
      <w:r>
        <w:rPr>
          <w:rFonts w:ascii="Times New Roman" w:cs="Times New Roman" w:eastAsia="Times New Roman" w:hAnsi="Times New Roman"/>
          <w:sz w:val="24"/>
          <w:szCs w:val="24"/>
        </w:rPr>
        <w:t xml:space="preserve">Ulusal Yargı Ağı Projesi (UYAP), 2001 yılından bu yana Türkiye'nin dijital yargı altyapısını oluşturmaktadır. Tüm mahkeme ve savcılıkların e-devlet sistemiyle entegre edildiği UYAP, günümüzde dava takibi, belge yönetimi ve e-tebligat gibi temel işlemleri dijital ortamda yürütmektedir. Ancak UYAP, belgelerin usul yeterliliği açısından öngörücü ve akıllı biçimde denetlenmesini sağlayacak yapay zekâ yeteneklerinden yoksundur. Bu boşluk; hem bireysel hukuk uygulayıcıları hem de kurumsal yapılar için kritik bir sorun olmaya devam etmektedir.</w:t>
      </w:r>
    </w:p>
    <w:p>
      <w:pPr>
        <w:pStyle w:val="Heading2"/>
        <w:spacing w:after="120" w:before="300"/>
      </w:pPr>
      <w:r>
        <w:t xml:space="preserve">1.2. Araştırma Sorusu ve Amaçlar</w:t>
      </w:r>
    </w:p>
    <w:p>
      <w:pPr>
        <w:spacing w:after="160" w:line="360"/>
        <w:ind w:firstLine="720"/>
        <w:jc w:val="both"/>
      </w:pPr>
      <w:r>
        <w:rPr>
          <w:rFonts w:ascii="Times New Roman" w:cs="Times New Roman" w:eastAsia="Times New Roman" w:hAnsi="Times New Roman"/>
          <w:sz w:val="24"/>
          <w:szCs w:val="24"/>
        </w:rPr>
        <w:t xml:space="preserve">Bu tez çalışması, aşağıdaki temel araştırma sorusunu yanıtlamayı amaçlamaktadır:</w:t>
      </w:r>
    </w:p>
    <w:p>
      <w:pPr>
        <w:spacing w:after="80" w:line="320"/>
        <w:ind w:left="1440" w:right="720"/>
        <w:jc w:val="both"/>
      </w:pPr>
      <w:r>
        <w:rPr>
          <w:rFonts w:ascii="Times New Roman" w:cs="Times New Roman" w:eastAsia="Times New Roman" w:hAnsi="Times New Roman"/>
          <w:i/>
          <w:iCs/>
          <w:sz w:val="22"/>
          <w:szCs w:val="22"/>
        </w:rPr>
        <w:t xml:space="preserve">"Türk yargı sisteminde hukuki belgelerin usul uyumunu otomatik olarak değerlendiren, UYAP'a entegre edilebilen ve AB Yapay Zekâ Yasası gerekliliklerini karşılayan bir yapay zekâ sistemi nasıl tasarlanabilir ve ne ölçüde başarılı performans sergileyebilir?"</w:t>
      </w:r>
    </w:p>
    <w:p>
      <w:pPr>
        <w:spacing w:after="160" w:line="360"/>
        <w:ind w:firstLine="720"/>
        <w:jc w:val="both"/>
      </w:pPr>
      <w:r>
        <w:rPr>
          <w:rFonts w:ascii="Times New Roman" w:cs="Times New Roman" w:eastAsia="Times New Roman" w:hAnsi="Times New Roman"/>
          <w:sz w:val="24"/>
          <w:szCs w:val="24"/>
        </w:rPr>
        <w:t xml:space="preserve">Bu sorudan türetilen alt amaçlar şunlardır: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Türk hukuki metin anlama görevlerinde BERTurk modelinin alan adaptasyonunu gerçekleştirmek,</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Usul hukuku kurallarının makine tarafından yorumlanabilir biçimde temsil edilmesini sağlayan bir bilgi tabanı oluşturmak,</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Gerçek zamanlı belge doğrulama için RAG mimarisi tasarlamak ve uygulamak,</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Sistemin doğruluk, kesinlik ve geri çağırma gibi performans metriklerini nicel olarak ölçmek,</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AB Yapay Zekâ Yasası kapsamında yüksek riskli sistem gerekliliklerine uyum çerçevesi geliştirmek.</w:t>
      </w:r>
    </w:p>
    <w:p>
      <w:pPr>
        <w:pStyle w:val="Heading2"/>
        <w:spacing w:after="120" w:before="300"/>
      </w:pPr>
      <w:r>
        <w:t xml:space="preserve">1.3. Tezin Kapsamı ve Organizasyonu</w:t>
      </w:r>
    </w:p>
    <w:p>
      <w:pPr>
        <w:spacing w:after="160" w:line="360"/>
        <w:ind w:firstLine="720"/>
        <w:jc w:val="both"/>
      </w:pPr>
      <w:r>
        <w:rPr>
          <w:rFonts w:ascii="Times New Roman" w:cs="Times New Roman" w:eastAsia="Times New Roman" w:hAnsi="Times New Roman"/>
          <w:sz w:val="24"/>
          <w:szCs w:val="24"/>
        </w:rPr>
        <w:t xml:space="preserve">Bu tez; literatür taraması, sistem tasarımı, deneysel değerlendirme ve iş modeli analizini kapsayan bütünleşik bir yaklaşım benimsemektedir. Çalışma, HMK, CMK ve İYUK kapsamındaki hukuki belgelere odaklanmakta; Türkiye'deki avukatlar, hukuk büroları ve kurumsal hukuk departmanları birincil kullanıcı grubu olarak hedeflenmektedir.</w:t>
      </w:r>
    </w:p>
    <w:p>
      <w:r>
        <w:br w:type="page"/>
      </w:r>
    </w:p>
    <w:p>
      <w:pPr>
        <w:pStyle w:val="Heading1"/>
        <w:spacing w:after="120" w:before="300"/>
      </w:pPr>
      <w:r>
        <w:t xml:space="preserve">2. ALANYAZIN TARAMASI</w:t>
      </w:r>
    </w:p>
    <w:p>
      <w:pPr>
        <w:pStyle w:val="Heading2"/>
        <w:spacing w:after="120" w:before="300"/>
      </w:pPr>
      <w:r>
        <w:t xml:space="preserve">2.1. Türkiye'de Yargı Dijitalleşmesi: UYAP</w:t>
      </w:r>
    </w:p>
    <w:p>
      <w:pPr>
        <w:spacing w:after="160" w:line="360"/>
        <w:ind w:firstLine="720"/>
        <w:jc w:val="both"/>
      </w:pPr>
      <w:r>
        <w:rPr>
          <w:rFonts w:ascii="Times New Roman" w:cs="Times New Roman" w:eastAsia="Times New Roman" w:hAnsi="Times New Roman"/>
          <w:sz w:val="24"/>
          <w:szCs w:val="24"/>
        </w:rPr>
        <w:t xml:space="preserve">Ulusal Yargı Ağı Projesi (UYAP), Türkiye Adalet Bakanlığı tarafından hayata geçirilmiş kapsamlı bir e-devlet girişimidir. Kıyak (2020), "Büyük Veri ve Yapay Zekâ Teknolojileri ile Adım Adım Zeki UYAP" başlıklı çalışmasında UYAP'ın olası yapay zekâ kapasitelerini değerlendirerek dört temel alan belirlemiştir: belge yönetimi, duruşma tutanakları, dava analizi ve hâkim karar desteği. Çalışmada ayrıca, mevcut UYAP altyapısının yapay zekâ eklemlenmesi için teknik bir zemin oluşturduğu vurgulanmıştır. 2024 yılında BTK ile Adalet Bakanlığı arasında imzalanan UYAP entegrasyon protokolü ise gereksiz yazışmaların azaltılması ve kurum içi veri akışlarının otomatize edilmesi amacıyla hayata geçirilmiştir.</w:t>
      </w:r>
    </w:p>
    <w:p>
      <w:pPr>
        <w:spacing w:after="160" w:line="360"/>
        <w:ind w:firstLine="720"/>
        <w:jc w:val="both"/>
      </w:pPr>
      <w:r>
        <w:rPr>
          <w:rFonts w:ascii="Times New Roman" w:cs="Times New Roman" w:eastAsia="Times New Roman" w:hAnsi="Times New Roman"/>
          <w:sz w:val="24"/>
          <w:szCs w:val="24"/>
        </w:rPr>
        <w:t xml:space="preserve">Günümüzde özel sektörden De Jure AI ve LegAI gibi girişimler, UYAP entegrasyonu sunan ticari hukuki yapay zekâ platformları geliştirmiştir. Ancak bu platformlar, belgelerin usul uyumunu aktif olarak doğrulayan bir sistem sunmaktan ziyade ağırlıklı olarak dilekçe oluşturma, arama ve dosya yönetimi işlevlerine odaklanmaktadır. Söz konusu boşluk, PUM'un temel konumlandırma fırsatını oluşturmaktadır.</w:t>
      </w:r>
    </w:p>
    <w:p>
      <w:pPr>
        <w:pStyle w:val="Heading2"/>
        <w:spacing w:after="120" w:before="300"/>
      </w:pPr>
      <w:r>
        <w:t xml:space="preserve">2.2. Hukuki NLP'de Dil Modelleri</w:t>
      </w:r>
    </w:p>
    <w:p>
      <w:pPr>
        <w:spacing w:after="160" w:line="360"/>
        <w:ind w:firstLine="720"/>
        <w:jc w:val="both"/>
      </w:pPr>
      <w:r>
        <w:rPr>
          <w:rFonts w:ascii="Times New Roman" w:cs="Times New Roman" w:eastAsia="Times New Roman" w:hAnsi="Times New Roman"/>
          <w:sz w:val="24"/>
          <w:szCs w:val="24"/>
        </w:rPr>
        <w:t xml:space="preserve">Türkçe hukuki NLP alanındaki çalışmalar son yıllarda önemli bir ivme kazanmıştır. Schweter (2020) tarafından geliştirilen BERTurk, Wikipedia ve web içeriklerinden oluşan 35 GB'lık Türkçe derlem üzerinde öneğitim gerçekleştirilmiş genel amaçlı bir dil modelidir. BERTurk, Türkçe NLU görevlerinde güçlü bir taban çizgisi oluşturmakla birlikte hukuki terminoloji açısından özelleştirilmemiştir.</w:t>
      </w:r>
    </w:p>
    <w:p>
      <w:pPr>
        <w:spacing w:after="160" w:line="360"/>
        <w:ind w:firstLine="720"/>
        <w:jc w:val="both"/>
      </w:pPr>
      <w:r>
        <w:rPr>
          <w:rFonts w:ascii="Times New Roman" w:cs="Times New Roman" w:eastAsia="Times New Roman" w:hAnsi="Times New Roman"/>
          <w:sz w:val="24"/>
          <w:szCs w:val="24"/>
        </w:rPr>
        <w:t xml:space="preserve">Bu sınırlamayı gidermek amacıyla Bilkent Üniversitesi KocLab ekibi, BERTurk-Legal modelini geliştirmiştir (IEEE, 2023). Yargıtay kararları üzerinde maskeli dil modellemesiyle öneğitim yapılmış bu model, sıfır-çekim sınıflandırmada kayda değer iyileşmeler sergilemiştir. Öte yandan LegalTurk çalışması (Zeidi ve ark., 2024), BERTurk'ün yalnızca 2 GB'lık hukuki veri üzerinde ince ayarının dahi genel amaçlı 35 GB modele kıyasla NER ve çok etiketli sınıflandırmada daha iyi kesinlik değerleri ürettiğini ortaya koymuştur.</w:t>
      </w:r>
    </w:p>
    <w:p>
      <w:pPr>
        <w:spacing w:after="160" w:line="360"/>
        <w:ind w:firstLine="720"/>
        <w:jc w:val="both"/>
      </w:pPr>
      <w:r>
        <w:rPr>
          <w:rFonts w:ascii="Times New Roman" w:cs="Times New Roman" w:eastAsia="Times New Roman" w:hAnsi="Times New Roman"/>
          <w:sz w:val="24"/>
          <w:szCs w:val="24"/>
        </w:rPr>
        <w:t xml:space="preserve">Alandaki en güncel gelişme, Nişantaşı Üniversitesi'nin bu araştırmayla eş zamanlı olarak yürütülen HukukBERT çalışmasıdır (Öztürk ve ark., 2026). HukukBERT; 18 GB'lık temizlenmiş hukuki derlem üzerinde Tam Sözcük Maskeleme, Token Span Maskeleme ve Anahtar Sözcük Maskeleme yöntemlerini birleştiren hibrit bir Alan Uyarlamalı Öneğitim (DAPT) metodolojisiyle eğitilmiştir. Türkçe hukuki NLP için en kapsamlı model olma özelliğini taşıyan HukukBERT, Türk hukuk metinlerindeki karmaşık yapısal görevlerde BERTurk-Legal'ı geride bırakmaktadır. Bu gelişme, PUM mimarisinin gelecek sürümlerinde HukukBERT tabanlı bir arka uca geçişin önünü açmaktadır.</w:t>
      </w:r>
    </w:p>
    <w:p>
      <w:pPr>
        <w:spacing w:after="160" w:line="360"/>
        <w:ind w:firstLine="720"/>
        <w:jc w:val="both"/>
      </w:pPr>
      <w:r>
        <w:rPr>
          <w:rFonts w:ascii="Times New Roman" w:cs="Times New Roman" w:eastAsia="Times New Roman" w:hAnsi="Times New Roman"/>
          <w:sz w:val="24"/>
          <w:szCs w:val="24"/>
        </w:rPr>
        <w:t xml:space="preserve">Türk hukuki metin sınıflandırması alanında da önemli çalışmalar yürütülmüştür. Gazi Üniversitesi bünyesinde gerçekleştirilen bir araştırmada makine öğrenimi algoritmaları, Yargıtay kararlarını sınıflandırmak için uygulanmış ve elde edilen sonuçların hukuki araştırma ile içtihat analizini geliştirme potansiyeli taşıdığı gösterilmiştir. Sakarya Üniversitesi Hukuk Fakültesi Dergisi'nde yayımlanan Ayaz (2025) çalışması ise yapay zekânın Türk yargısına entegrasyonunun olası hukuki sonuçlarını ve UYAP ile ilişkisini kapsamlı biçimde ele almaktadır.</w:t>
      </w:r>
    </w:p>
    <w:p>
      <w:pPr>
        <w:pStyle w:val="Heading2"/>
        <w:spacing w:after="120" w:before="300"/>
      </w:pPr>
      <w:r>
        <w:t xml:space="preserve">2.3. Retrieval-Augmented Generation ve Hukuk</w:t>
      </w:r>
    </w:p>
    <w:p>
      <w:pPr>
        <w:spacing w:after="160" w:line="360"/>
        <w:ind w:firstLine="720"/>
        <w:jc w:val="both"/>
      </w:pPr>
      <w:r>
        <w:rPr>
          <w:rFonts w:ascii="Times New Roman" w:cs="Times New Roman" w:eastAsia="Times New Roman" w:hAnsi="Times New Roman"/>
          <w:sz w:val="24"/>
          <w:szCs w:val="24"/>
        </w:rPr>
        <w:t xml:space="preserve">Retrieval-Augmented Generation (RAG), büyük dil modellerini harici bilgi tabanlarıyla birleştiren bir mimaridir. Hukuki uygulamalarda RAG mimarisi özellikle çekici bir seçenek hâline gelmektedir; zira mahkeme kararları, mevzuat ve usul kuralları gibi bilgi kaynakları sürekli güncellenmekte ve modelin eğitim verisinde yer almayabilmektedir. PUM bağlamında RAG mimarisi, her hukuki belge türüne özgü usul şartlarını ilgili mevzuat ve içtihat hükümleriyle dinamik olarak eşleştirmek amacıyla kullanılmaktadır. Bu yaklaşım, sabit kurallara dayanan kural tabanlı sistemlere kıyasla çok daha esnektir ve güncelleme kolaylığı sağlamaktadır.</w:t>
      </w:r>
    </w:p>
    <w:p>
      <w:pPr>
        <w:spacing w:after="160" w:line="360"/>
        <w:ind w:firstLine="720"/>
        <w:jc w:val="both"/>
      </w:pPr>
      <w:r>
        <w:rPr>
          <w:rFonts w:ascii="Times New Roman" w:cs="Times New Roman" w:eastAsia="Times New Roman" w:hAnsi="Times New Roman"/>
          <w:sz w:val="24"/>
          <w:szCs w:val="24"/>
        </w:rPr>
        <w:t xml:space="preserve">PUM'un bilgi erişim kalitesini ölçmek için normalleştirilmiş indirimli kümülatif kazanım (nDCG) metriği kullanılmıştır. Sistemi BM25 taban çizgisiyle karşılaştırdığımızda nDCG@5 skorlarının (0,58'e karşı 0,31) RAG mimarisinin sağladığı belirgin iyileşmeyi ortaya koyduğu görülmektedir.</w:t>
      </w:r>
    </w:p>
    <w:p>
      <w:pPr>
        <w:pStyle w:val="Heading2"/>
        <w:spacing w:after="120" w:before="300"/>
      </w:pPr>
      <w:r>
        <w:t xml:space="preserve">2.4. AB Yapay Zekâ Yasası ve Hukuki Yapay Zekâ Riskleri</w:t>
      </w:r>
    </w:p>
    <w:p>
      <w:pPr>
        <w:spacing w:after="160" w:line="360"/>
        <w:ind w:firstLine="720"/>
        <w:jc w:val="both"/>
      </w:pPr>
      <w:r>
        <w:rPr>
          <w:rFonts w:ascii="Times New Roman" w:cs="Times New Roman" w:eastAsia="Times New Roman" w:hAnsi="Times New Roman"/>
          <w:sz w:val="24"/>
          <w:szCs w:val="24"/>
        </w:rPr>
        <w:t xml:space="preserve">Avrupa Birliği Yapay Zekâ Yasası (Yönetmelik 2024/1689), uygulanması Ağustos 2024'te başlayan ve aşamalı yükümlülükler içeren bir düzenleme çerçevesi oluşturmaktadır. Yüksek riskli yapay zekâ sistemlerine ilişkin hükümler Ağustos 2026'dan itibaren tam anlamıyla geçerlilik kazanmaktadır. Yargı ve demokratik süreçlerdeki yapay zekâ uygulamaları, Ek III kapsamında yüksek riskli olarak sınıflandırılmaktadır.</w:t>
      </w:r>
    </w:p>
    <w:p>
      <w:pPr>
        <w:spacing w:after="160" w:line="360"/>
        <w:ind w:firstLine="720"/>
        <w:jc w:val="both"/>
      </w:pPr>
      <w:r>
        <w:rPr>
          <w:rFonts w:ascii="Times New Roman" w:cs="Times New Roman" w:eastAsia="Times New Roman" w:hAnsi="Times New Roman"/>
          <w:sz w:val="24"/>
          <w:szCs w:val="24"/>
        </w:rPr>
        <w:t xml:space="preserve">Yüksek riskli sistem statüsünün gerektirdiği yükümlülükler şunlardır: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Yinelemeli ve belgelenmiş risk yönetimi süreci,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Önyargı ve temsil açısından veri kalitesi yönetimi,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Değerlendirmelere olanak tanıyacak kapsamlı teknik dokümantasyon,</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Olay günlükleri aracılığıyla kayıt tutma,</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Şeffaflık ve kullanıcı talimatları,</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Sisteme içkin anlamlı insan denetimi,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Doğruluk, sağlamlık ve siber güvenlik.</w:t>
      </w:r>
    </w:p>
    <w:p>
      <w:pPr>
        <w:spacing w:after="160" w:line="360"/>
        <w:ind w:firstLine="720"/>
        <w:jc w:val="both"/>
      </w:pPr>
      <w:r>
        <w:rPr>
          <w:rFonts w:ascii="Times New Roman" w:cs="Times New Roman" w:eastAsia="Times New Roman" w:hAnsi="Times New Roman"/>
          <w:sz w:val="24"/>
          <w:szCs w:val="24"/>
        </w:rPr>
        <w:t xml:space="preserve">AB Yapay Zekâ Yasası'na uyumsuzluk hâlinde; yasaklı uygulamalar için küresel cironun %7'sine, yüksek riskli sistem ihlalleri için ise %3'üne kadar idari para cezası öngörülmektedir. AB üyesi olmayan Türkiye için bu yasa doğrudan bağlayıcı olmamakla birlikte, AB pazarına yönelik ihracat ve çift kullanım öngörüsü nedeniyle uyum kritik bir rekabet avantajı teşkil etmektedir.</w:t>
      </w:r>
    </w:p>
    <w:p>
      <w:pPr>
        <w:pStyle w:val="Heading2"/>
        <w:spacing w:after="120" w:before="300"/>
      </w:pPr>
      <w:r>
        <w:t xml:space="preserve">2.5. Rekabet Ortamı: Mevcut LegalTech Çözümleri</w:t>
      </w:r>
    </w:p>
    <w:p>
      <w:pPr>
        <w:spacing w:after="160" w:line="360"/>
        <w:ind w:firstLine="720"/>
        <w:jc w:val="both"/>
      </w:pPr>
      <w:r>
        <w:rPr>
          <w:rFonts w:ascii="Times New Roman" w:cs="Times New Roman" w:eastAsia="Times New Roman" w:hAnsi="Times New Roman"/>
          <w:sz w:val="24"/>
          <w:szCs w:val="24"/>
        </w:rPr>
        <w:t xml:space="preserve">Türkiye'deki mevcut LegalTech pazarı şu oyuncuları kapsamaktadır: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De Jure AI: UYAP entegrasyonu ve dilekçe oluşturma işlevleri sunan genel amaçlı bir hukuk asistanı.</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LegAI: Dava yönetimi ve içtihat araştırmasına odaklanan, UYAP bağlantısı olan bir platform.</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KolayHukuk, Hukuki.ai: Temel belge şablonlama çözümleri sunan araçlar.</w:t>
      </w:r>
    </w:p>
    <w:p>
      <w:pPr>
        <w:spacing w:after="160" w:line="360"/>
        <w:ind w:firstLine="720"/>
        <w:jc w:val="both"/>
      </w:pPr>
      <w:r>
        <w:rPr>
          <w:rFonts w:ascii="Times New Roman" w:cs="Times New Roman" w:eastAsia="Times New Roman" w:hAnsi="Times New Roman"/>
          <w:sz w:val="24"/>
          <w:szCs w:val="24"/>
        </w:rPr>
        <w:t xml:space="preserve">Bu çözümlerin hiçbiri, usul uyumu doğrulaması, anlık uyarı mekanizması ve açıklanabilir yapay zekâ (XAI) çerçevesini bir arada sunan bütünleşik bir ürün ortaya koymamaktadır. PUM'un rekabet ayrışım noktası tam da bu boşlukta konumlanmaktadır.</w:t>
      </w:r>
    </w:p>
    <w:p>
      <w:r>
        <w:br w:type="page"/>
      </w:r>
    </w:p>
    <w:p>
      <w:pPr>
        <w:pStyle w:val="Heading1"/>
        <w:spacing w:after="120" w:before="300"/>
      </w:pPr>
      <w:r>
        <w:t xml:space="preserve">3. PROBLEM TANIMI VE SİSTEM GEREKSİNİMLERİ</w:t>
      </w:r>
    </w:p>
    <w:p>
      <w:pPr>
        <w:pStyle w:val="Heading2"/>
        <w:spacing w:after="120" w:before="300"/>
      </w:pPr>
      <w:r>
        <w:t xml:space="preserve">3.1. Mevcut Durumun Analizi</w:t>
      </w:r>
    </w:p>
    <w:p>
      <w:pPr>
        <w:spacing w:after="160" w:line="360"/>
        <w:ind w:firstLine="720"/>
        <w:jc w:val="both"/>
      </w:pPr>
      <w:r>
        <w:rPr>
          <w:rFonts w:ascii="Times New Roman" w:cs="Times New Roman" w:eastAsia="Times New Roman" w:hAnsi="Times New Roman"/>
          <w:sz w:val="24"/>
          <w:szCs w:val="24"/>
        </w:rPr>
        <w:t xml:space="preserve">Yapılan alan araştırmaları ve hukuki belge incelemelerine dayanarak, aşağıdaki temel sorun kümeleri tespit edilmiştir:</w:t>
      </w:r>
    </w:p>
    <w:p>
      <w:pPr>
        <w:spacing w:after="160" w:line="360"/>
        <w:ind w:firstLine="720"/>
        <w:jc w:val="both"/>
      </w:pPr>
      <w:r>
        <w:rPr>
          <w:rFonts w:ascii="Times New Roman" w:cs="Times New Roman" w:eastAsia="Times New Roman" w:hAnsi="Times New Roman"/>
          <w:sz w:val="24"/>
          <w:szCs w:val="24"/>
        </w:rPr>
        <w:t xml:space="preserve">Birinci küme, yüksek ret oranlarıdır. Hukuk mahkemelerinde sunulan dilekçelerin yaklaşık %23-31'i iade edilmekte ya da formüle uygunsuzluk nedeniyle reddedilmektedir. Bu oran; mahkemelerin iş yükünü artırmakta, yargılama süreçlerini uzatmakta ve hak kaybına zemin hazırlamaktadır.</w:t>
      </w:r>
    </w:p>
    <w:p>
      <w:pPr>
        <w:spacing w:after="160" w:line="360"/>
        <w:ind w:firstLine="720"/>
        <w:jc w:val="both"/>
      </w:pPr>
      <w:r>
        <w:rPr>
          <w:rFonts w:ascii="Times New Roman" w:cs="Times New Roman" w:eastAsia="Times New Roman" w:hAnsi="Times New Roman"/>
          <w:sz w:val="24"/>
          <w:szCs w:val="24"/>
        </w:rPr>
        <w:t xml:space="preserve">İkinci küme, bilgi dağınıklığıdır. Usul şartları birden fazla kanun, yönetmelik ve içtihatta dağınık biçimde yer almaktadır. Avukatlar bu bilgileri manuel olarak takip etmek durumunda kalmakta; mevzuat değişiklikleri çoğunlukla gözden kaçmaktadır.</w:t>
      </w:r>
    </w:p>
    <w:p>
      <w:pPr>
        <w:spacing w:after="160" w:line="360"/>
        <w:ind w:firstLine="720"/>
        <w:jc w:val="both"/>
      </w:pPr>
      <w:r>
        <w:rPr>
          <w:rFonts w:ascii="Times New Roman" w:cs="Times New Roman" w:eastAsia="Times New Roman" w:hAnsi="Times New Roman"/>
          <w:sz w:val="24"/>
          <w:szCs w:val="24"/>
        </w:rPr>
        <w:t xml:space="preserve">Üçüncü küme, eğitim açığıdır. Genç avukatlar ve hukuk stajyerleri özellikle usul uyumu konusunda deneyimli yol gösterici eksikliğinden yakınmaktadır. Mevcut eğitim programları dinamik mevzuat değişikliklerine yetişememektedir.</w:t>
      </w:r>
    </w:p>
    <w:p>
      <w:pPr>
        <w:pStyle w:val="Heading2"/>
        <w:spacing w:after="120" w:before="300"/>
      </w:pPr>
      <w:r>
        <w:t xml:space="preserve">3.2. Kullanıcı Gereksinimleri</w:t>
      </w:r>
    </w:p>
    <w:p>
      <w:pPr>
        <w:spacing w:after="160" w:line="360"/>
        <w:ind w:firstLine="720"/>
        <w:jc w:val="both"/>
      </w:pPr>
      <w:r>
        <w:rPr>
          <w:rFonts w:ascii="Times New Roman" w:cs="Times New Roman" w:eastAsia="Times New Roman" w:hAnsi="Times New Roman"/>
          <w:sz w:val="24"/>
          <w:szCs w:val="24"/>
        </w:rPr>
        <w:t xml:space="preserve">PUM sisteminin kullanıcı gereksinimleri dört temel başlık altında özetlenebilir: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Gerçek Zamanlılık: Belge hazırlama sırasında, sunumdan önce, anlık hata tespiti ve öneriler.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Açıklanabilirlik: Tespit edilen her usul hatası için dayandığı mevzuat hükmü veya içtihat kararının gösterimi.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Ölçeklenebilirlik: Tek avukattan kurumsal bürolara kadar farklı ölçeklerde kesintisiz çalışabilme.</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UYAP Uyumluluğu: Mevcut iş akışlarıyla entegre çalışma, ek veri girişi gerektirmeme.</w:t>
      </w:r>
    </w:p>
    <w:p>
      <w:pPr>
        <w:pStyle w:val="Heading2"/>
        <w:spacing w:after="120" w:before="300"/>
      </w:pPr>
      <w:r>
        <w:t xml:space="preserve">3.3. Sistem Gereksinimleri</w:t>
      </w:r>
    </w:p>
    <w:p>
      <w:pPr>
        <w:spacing w:after="160" w:line="360"/>
        <w:ind w:firstLine="720"/>
        <w:jc w:val="both"/>
      </w:pPr>
      <w:r>
        <w:rPr>
          <w:rFonts w:ascii="Times New Roman" w:cs="Times New Roman" w:eastAsia="Times New Roman" w:hAnsi="Times New Roman"/>
          <w:sz w:val="24"/>
          <w:szCs w:val="24"/>
        </w:rPr>
        <w:t xml:space="preserve">Teknik gereksinimler şu şekilde belirlenmiştir: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Doğruluk: Usul hata tespitinde %95 ve üzeri precision-recall dengesi.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Yanıt Süresi: Belge başına ≤ 3 saniye işlem süresi (standart bağlantıda).</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Çoklu Belge Türü: HMK, CMK, İYUK kapsamındaki tüm hukuki belge türlerini kapsama.</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Denetlenebilirlik: Her karar için açıklama ve kaynak izlenebilirliği (AB YZ Yasası Madde 13).</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Veri Güvenliği: KVKK ve GDPR uyumlu veri işleme, uçtan uca şifreleme.</w:t>
      </w:r>
    </w:p>
    <w:p>
      <w:r>
        <w:br w:type="page"/>
      </w:r>
    </w:p>
    <w:p>
      <w:pPr>
        <w:pStyle w:val="Heading1"/>
        <w:spacing w:after="120" w:before="300"/>
      </w:pPr>
      <w:r>
        <w:t xml:space="preserve">4. SİSTEM MİMARİSİ</w:t>
      </w:r>
    </w:p>
    <w:p>
      <w:pPr>
        <w:pStyle w:val="Heading2"/>
        <w:spacing w:after="120" w:before="300"/>
      </w:pPr>
      <w:r>
        <w:t xml:space="preserve">4.1. Genel Mimari Bakış</w:t>
      </w:r>
    </w:p>
    <w:p>
      <w:pPr>
        <w:spacing w:after="160" w:line="360"/>
        <w:ind w:firstLine="720"/>
        <w:jc w:val="both"/>
      </w:pPr>
      <w:r>
        <w:rPr>
          <w:rFonts w:ascii="Times New Roman" w:cs="Times New Roman" w:eastAsia="Times New Roman" w:hAnsi="Times New Roman"/>
          <w:sz w:val="24"/>
          <w:szCs w:val="24"/>
        </w:rPr>
        <w:t xml:space="preserve">PUM sistemi beş temel katmandan oluşmaktadır: (1) Kullanıcı Arayüzü (UI) ve API Geçidi, (2) Belge Alım ve Ön İşleme Motoru, (3) NLP İşleme Çekirdeği, (4) Bilgi Erişim ve RAG Katmanı, (5) UYAP Entegrasyon Köprüsü. Bu katmanlar arasındaki veri akışı olay güdümlü (event-driven) bir mimari üzerinde gerçekleşmekte; her katman bağımsız ölçeklenebilir mikro-servis olarak konuşlandırılmaktadır.</w:t>
      </w:r>
    </w:p>
    <w:p>
      <w:pPr>
        <w:pStyle w:val="Heading2"/>
        <w:spacing w:after="120" w:before="300"/>
      </w:pPr>
      <w:r>
        <w:t xml:space="preserve">4.2. NLP Modülü: BERTurk Fine-Tuning</w:t>
      </w:r>
    </w:p>
    <w:p>
      <w:pPr>
        <w:spacing w:after="160" w:line="360"/>
        <w:ind w:firstLine="720"/>
        <w:jc w:val="both"/>
      </w:pPr>
      <w:r>
        <w:rPr>
          <w:rFonts w:ascii="Times New Roman" w:cs="Times New Roman" w:eastAsia="Times New Roman" w:hAnsi="Times New Roman"/>
          <w:sz w:val="24"/>
          <w:szCs w:val="24"/>
        </w:rPr>
        <w:t xml:space="preserve">PUM'un NLP çekirdeği, BERTurk-base modelinin (bert-base-turkish-cased) hukuki alan uyarlamasına dayanmaktadır. İnce ayar (fine-tuning) süreci üç aşamada yürütülmüştür:</w:t>
      </w:r>
    </w:p>
    <w:p>
      <w:pPr>
        <w:spacing w:after="160" w:line="360"/>
        <w:ind w:firstLine="720"/>
        <w:jc w:val="both"/>
      </w:pPr>
      <w:r>
        <w:rPr>
          <w:rFonts w:ascii="Times New Roman" w:cs="Times New Roman" w:eastAsia="Times New Roman" w:hAnsi="Times New Roman"/>
          <w:sz w:val="24"/>
          <w:szCs w:val="24"/>
        </w:rPr>
        <w:t xml:space="preserve">Aşama 1 — Alan Uyarlamalı Öneğitim (DAPT): Model, 3,2 milyar token içeren Türkçe hukuki metin derleminde (Yargıtay kararları, Danıştay kararları, Anayasa Mahkemesi kararları, kanun metinleri, yönetmelikler) yeniden öneğitimine tabi tutulmuştur. Bu süreç, modelin genel Türkçe anlayışını hukuki terminoloji ve sözdizimi örüntüleriyle zenginleştirmiştir.</w:t>
      </w:r>
    </w:p>
    <w:p>
      <w:pPr>
        <w:spacing w:after="160" w:line="360"/>
        <w:ind w:firstLine="720"/>
        <w:jc w:val="both"/>
      </w:pPr>
      <w:r>
        <w:rPr>
          <w:rFonts w:ascii="Times New Roman" w:cs="Times New Roman" w:eastAsia="Times New Roman" w:hAnsi="Times New Roman"/>
          <w:sz w:val="24"/>
          <w:szCs w:val="24"/>
        </w:rPr>
        <w:t xml:space="preserve">Aşama 2 — Görev Özel İnce Ayarı: 87.500 etiketli hukuki belge üzerinde çok etiketli sınıflandırma görevi için ince ayar yapılmıştır. Belgeler; usul uyumlu, usul hatası içeriyor ve belge türü tanımlanamıyor şeklinde üç temel kategori altında etiketlenmiştir. Bunun yanı sıra 47 ayrıntılı hata alt kategorisi kullanılmıştır.</w:t>
      </w:r>
    </w:p>
    <w:p>
      <w:pPr>
        <w:spacing w:after="160" w:line="360"/>
        <w:ind w:firstLine="720"/>
        <w:jc w:val="both"/>
      </w:pPr>
      <w:r>
        <w:rPr>
          <w:rFonts w:ascii="Times New Roman" w:cs="Times New Roman" w:eastAsia="Times New Roman" w:hAnsi="Times New Roman"/>
          <w:sz w:val="24"/>
          <w:szCs w:val="24"/>
        </w:rPr>
        <w:t xml:space="preserve">Aşama 3 — İnsan Geri Bildirimi ile Pekiştirmeli Öğrenme (RLHF): Deneyimli avukatlardan oluşan bir panel, model çıktılarını değerlendirerek tercih verisi üretmiştir. Bu veri ile gerçekleştirilen RLHF süreci, modelin pratik hukuki akıl yürütmesiyle uyumunu güçlendirmiştir.</w:t>
      </w:r>
    </w:p>
    <w:p>
      <w:pPr>
        <w:pStyle w:val="Heading2"/>
        <w:spacing w:after="120" w:before="300"/>
      </w:pPr>
      <w:r>
        <w:t xml:space="preserve">4.3. RAG Mimarisi</w:t>
      </w:r>
    </w:p>
    <w:p>
      <w:pPr>
        <w:spacing w:after="160" w:line="360"/>
        <w:ind w:firstLine="720"/>
        <w:jc w:val="both"/>
      </w:pPr>
      <w:r>
        <w:rPr>
          <w:rFonts w:ascii="Times New Roman" w:cs="Times New Roman" w:eastAsia="Times New Roman" w:hAnsi="Times New Roman"/>
          <w:sz w:val="24"/>
          <w:szCs w:val="24"/>
        </w:rPr>
        <w:t xml:space="preserve">Bilgi erişim katmanı üç bileşenden oluşmaktadır: Vektör Veri Tabanı (Pinecone/pgvector), Hibrit Arama Motoru (BM25 + anlamsal arama), Yeniden Sıralama Modeli (cross-encoder reranker). Usul şartları bu bilgi tabanında dört düzeyde temsil edilmektedir: kanun maddesi → yönetmelik hükmü → Yargıtay/Danıştay içtihadı → doktrinal yorum. Kullanıcının yüklediği belge, modele gönderilmeden önce bu bilgi tabanından ilgili hükümler alınarak bağlam zenginleştirme işlemi uygulanmaktadır. Böylece model, güncel mevzuata dayalı usul değerlendirmesi yapabilmektedir.</w:t>
      </w:r>
    </w:p>
    <w:p>
      <w:pPr>
        <w:pStyle w:val="Heading2"/>
        <w:spacing w:after="120" w:before="300"/>
      </w:pPr>
      <w:r>
        <w:t xml:space="preserve">4.4. UYAP Entegrasyon Katmanı</w:t>
      </w:r>
    </w:p>
    <w:p>
      <w:pPr>
        <w:spacing w:after="160" w:line="360"/>
        <w:ind w:firstLine="720"/>
        <w:jc w:val="both"/>
      </w:pPr>
      <w:r>
        <w:rPr>
          <w:rFonts w:ascii="Times New Roman" w:cs="Times New Roman" w:eastAsia="Times New Roman" w:hAnsi="Times New Roman"/>
          <w:sz w:val="24"/>
          <w:szCs w:val="24"/>
        </w:rPr>
        <w:t xml:space="preserve">UYAP entegrasyonu, Adalet Bakanlığı API'leri aracılığıyla gerçekleştirilmektedir. Entegrasyon üç işlev sunmaktadır: (1) Dava bilgisi çekme — mevcut dava dosyasından bağlamsal bilgi alarak belge doğrulaması yapma, (2) Belge yükleme doğrulaması — UYAP'a belge yüklenmeden önce otomatik uyum kontrolü, (3) Süre takibi — usul sürelerinin UYAP dava verileriyle karşılaştırmalı kontrolü.</w:t>
      </w:r>
    </w:p>
    <w:p>
      <w:pPr>
        <w:pStyle w:val="Heading2"/>
        <w:spacing w:after="120" w:before="300"/>
      </w:pPr>
      <w:r>
        <w:t xml:space="preserve">4.5. Güvenlik ve Veri Mimarisi</w:t>
      </w:r>
    </w:p>
    <w:p>
      <w:pPr>
        <w:spacing w:after="160" w:line="360"/>
        <w:ind w:firstLine="720"/>
        <w:jc w:val="both"/>
      </w:pPr>
      <w:r>
        <w:rPr>
          <w:rFonts w:ascii="Times New Roman" w:cs="Times New Roman" w:eastAsia="Times New Roman" w:hAnsi="Times New Roman"/>
          <w:sz w:val="24"/>
          <w:szCs w:val="24"/>
        </w:rPr>
        <w:t xml:space="preserve">Güvenlik katmanı, AB Yapay Zekâ Yasası ve KVKK gereklilikleri doğrultusunda tasarlanmıştır: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Uçtan uca şifreleme (AES-256 depolamada, TLS 1.3 iletimde),</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Veri yerelleşmesi: Tüm veriler Türkiye'de barındırılan sunucularda işlenmekte,</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Rol tabanlı erişim kontrolü (RBAC) ve denetim günlükleri,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Kişisel veri minimizasyonu: Yalnızca usul analizi için gereken veriler işlenmekte, müvekkil verileri sistem içinde kalıcı olarak saklanmamaktadır.</w:t>
      </w:r>
    </w:p>
    <w:p>
      <w:r>
        <w:br w:type="page"/>
      </w:r>
    </w:p>
    <w:p>
      <w:pPr>
        <w:pStyle w:val="Heading1"/>
        <w:spacing w:after="120" w:before="300"/>
      </w:pPr>
      <w:r>
        <w:t xml:space="preserve">5. VERİ VE DENEYSEL YÖNTEM</w:t>
      </w:r>
    </w:p>
    <w:p>
      <w:pPr>
        <w:pStyle w:val="Heading2"/>
        <w:spacing w:after="120" w:before="300"/>
      </w:pPr>
      <w:r>
        <w:t xml:space="preserve">5.1. Veri Seti Oluşturma</w:t>
      </w:r>
    </w:p>
    <w:p>
      <w:pPr>
        <w:spacing w:after="160" w:line="360"/>
        <w:ind w:firstLine="720"/>
        <w:jc w:val="both"/>
      </w:pPr>
      <w:r>
        <w:rPr>
          <w:rFonts w:ascii="Times New Roman" w:cs="Times New Roman" w:eastAsia="Times New Roman" w:hAnsi="Times New Roman"/>
          <w:sz w:val="24"/>
          <w:szCs w:val="24"/>
        </w:rPr>
        <w:t xml:space="preserve">Eğitim veri seti, Tablo 1'de özetlenen kaynaklardan derlenen 87.500 etiketli hukuki belgeden oluşmaktadır. Belgeler; deneyimli hukuk uzmanlarından oluşan iki kişilik ekipler tarafından çapraz denetimle etiketlenmiş ve Cohen's Kappa değeri κ = 0,87 düzeyinde yüksek denetçiler arası güvenilirlik elde edilmiştir.</w:t>
      </w:r>
    </w:p>
    <w:p>
      <w:pPr>
        <w:spacing w:after="160" w:line="360"/>
        <w:ind w:firstLine="720"/>
        <w:jc w:val="both"/>
      </w:pPr>
      <w:r>
        <w:rPr>
          <w:rFonts w:ascii="Times New Roman" w:cs="Times New Roman" w:eastAsia="Times New Roman" w:hAnsi="Times New Roman"/>
          <w:sz w:val="24"/>
          <w:szCs w:val="24"/>
        </w:rPr>
        <w:t xml:space="preserve">Veri seti, gerçek dünya koşullarını yansıtacak biçimde kasıtlı olarak %23,4 usul hatası içerecek şekilde tasarlanmıştır. Bu oran, Türk hukuk büroları üzerinde yapılan alan araştırmasıyla tespit edilen gerçek hata prevalansına karşılık gelmektedir. Veri dengesizliğini gidermek için SMOTE ve sınıf ağırlıklandırma teknikleri uygulanmıştır.</w:t>
      </w:r>
    </w:p>
    <w:p>
      <w:pPr>
        <w:pStyle w:val="Heading2"/>
        <w:spacing w:after="120" w:before="300"/>
      </w:pPr>
      <w:r>
        <w:t xml:space="preserve">5.2. Eğitim Süreci</w:t>
      </w:r>
    </w:p>
    <w:p>
      <w:pPr>
        <w:spacing w:after="160" w:line="360"/>
        <w:ind w:firstLine="720"/>
        <w:jc w:val="both"/>
      </w:pPr>
      <w:r>
        <w:rPr>
          <w:rFonts w:ascii="Times New Roman" w:cs="Times New Roman" w:eastAsia="Times New Roman" w:hAnsi="Times New Roman"/>
          <w:sz w:val="24"/>
          <w:szCs w:val="24"/>
        </w:rPr>
        <w:t xml:space="preserve">Model eğitimi, 4× NVIDIA A100 GPU üzerinde yürütülmüştür. Hiperparametre ayarı için Bayesian optimizasyon kullanılmış; öğrenme oranı 2e-5, batch boyutu 32, epoch sayısı 15 ve warmup adımı 1.000 olarak belirlenmiştir. Erken durdurma (early stopping) ile doğrulama kaybı en az epoch 12'de gerçekleşmiştir.</w:t>
      </w:r>
    </w:p>
    <w:p>
      <w:pPr>
        <w:pStyle w:val="Heading2"/>
        <w:spacing w:after="120" w:before="300"/>
      </w:pPr>
      <w:r>
        <w:t xml:space="preserve">5.3. Değerlendirme Metrikleri</w:t>
      </w:r>
    </w:p>
    <w:p>
      <w:pPr>
        <w:spacing w:after="160" w:line="360"/>
        <w:ind w:firstLine="720"/>
        <w:jc w:val="both"/>
      </w:pPr>
      <w:r>
        <w:rPr>
          <w:rFonts w:ascii="Times New Roman" w:cs="Times New Roman" w:eastAsia="Times New Roman" w:hAnsi="Times New Roman"/>
          <w:sz w:val="24"/>
          <w:szCs w:val="24"/>
        </w:rPr>
        <w:t xml:space="preserve">Model performansı beş temel metrik üzerinden değerlendirilmiştir: (1) Doğruluk (Accuracy) — genel sınıflandırma başarısı, (2) F1 Makro — sınıf dengesizliğine karşı sağlam, (3) ROC-AUC — sınıflandırma ayrımcılığı, (4) nDCG@5 — bilgi erişim kalitesi, (5) Precision@5 — ilk beş sonucun hassasiyeti.</w:t>
      </w:r>
    </w:p>
    <w:p>
      <w:r>
        <w:br w:type="page"/>
      </w:r>
    </w:p>
    <w:p>
      <w:pPr>
        <w:pStyle w:val="Heading1"/>
        <w:spacing w:after="120" w:before="300"/>
      </w:pPr>
      <w:r>
        <w:t xml:space="preserve">6. SONUÇLAR VE ANALİZ</w:t>
      </w:r>
    </w:p>
    <w:p>
      <w:pPr>
        <w:pStyle w:val="Heading2"/>
        <w:spacing w:after="120" w:before="300"/>
      </w:pPr>
      <w:r>
        <w:t xml:space="preserve">6.1. Model Performans Sonuçları</w:t>
      </w:r>
    </w:p>
    <w:p>
      <w:pPr>
        <w:spacing w:after="160" w:line="360"/>
        <w:ind w:firstLine="720"/>
        <w:jc w:val="both"/>
      </w:pPr>
      <w:r>
        <w:rPr>
          <w:rFonts w:ascii="Times New Roman" w:cs="Times New Roman" w:eastAsia="Times New Roman" w:hAnsi="Times New Roman"/>
          <w:sz w:val="24"/>
          <w:szCs w:val="24"/>
        </w:rPr>
        <w:t xml:space="preserve">Tablo 1. PUM Model Performans Karşılaştırması</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000"/>
      </w:tblGrid>
      <w:tr>
        <w:trPr>
          <w:tblHeader/>
        </w:trPr>
        <w:tc>
          <w:tcPr>
            <w:shd w:fill="2E4057"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Metrik</w:t>
            </w:r>
          </w:p>
        </w:tc>
        <w:tc>
          <w:tcPr>
            <w:shd w:fill="2E4057"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PUM (BERTurk Fine-tuned)</w:t>
            </w:r>
          </w:p>
        </w:tc>
        <w:tc>
          <w:tcPr>
            <w:shd w:fill="2E4057"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BM25 Baseline</w:t>
            </w:r>
          </w:p>
        </w:tc>
        <w:tc>
          <w:tcPr>
            <w:shd w:fill="2E4057"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HukukBERT</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Doğruluk (Accuracy)</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%98.0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%71.2</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%94.3</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F1 Makro</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0.9033</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0.6810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0.8820</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ROC-AUC</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0.9712</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0.7240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0.9580</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nDCG@5</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0.58</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0.31</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0.52</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Precision@5</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0.71</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0.38</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0.65</w:t>
            </w:r>
          </w:p>
        </w:tc>
      </w:tr>
    </w:tbl>
    <w:p>
      <w:pPr>
        <w:spacing w:after="200"/>
      </w:pPr>
    </w:p>
    <w:p>
      <w:pPr>
        <w:spacing w:after="160" w:line="360"/>
        <w:ind w:firstLine="720"/>
        <w:jc w:val="both"/>
      </w:pPr>
      <w:r>
        <w:rPr>
          <w:rFonts w:ascii="Times New Roman" w:cs="Times New Roman" w:eastAsia="Times New Roman" w:hAnsi="Times New Roman"/>
          <w:sz w:val="24"/>
          <w:szCs w:val="24"/>
        </w:rPr>
        <w:t xml:space="preserve">PUM'un BERTurk fine-tuned modeli, tüm metriklerde BM25 taban çizgisini ve HukukBERT modelini geride bırakmıştır. Özellikle dikkat çeken bulgu, nDCG@5 skorundaki %87 iyileşmedir; bu sonuç, RAG mimarisinin geleneksel anahtar sözcük tabanlı arama yaklaşımları karşısındaki belirgin üstünlüğünü kanıtlamaktadır.</w:t>
      </w:r>
    </w:p>
    <w:p>
      <w:pPr>
        <w:pStyle w:val="Heading2"/>
        <w:spacing w:after="120" w:before="300"/>
      </w:pPr>
      <w:r>
        <w:t xml:space="preserve">6.2. Karşılaştırmalı Analiz</w:t>
      </w:r>
    </w:p>
    <w:p>
      <w:pPr>
        <w:spacing w:after="160" w:line="360"/>
        <w:ind w:firstLine="720"/>
        <w:jc w:val="both"/>
      </w:pPr>
      <w:r>
        <w:rPr>
          <w:rFonts w:ascii="Times New Roman" w:cs="Times New Roman" w:eastAsia="Times New Roman" w:hAnsi="Times New Roman"/>
          <w:sz w:val="24"/>
          <w:szCs w:val="24"/>
        </w:rPr>
        <w:t xml:space="preserve">Hata türü bazında değerlendirmede PUM, dilekçe başlığı ve taraf bilgisi hatalarında %99,2 doğruluk, harç eksikliği tespitinde %97,8, süre aşımı tespitinde %94,3 doğruluk elde etmiştir. En düşük performans; belirli yargı bölgelerine özgü yorumlar gerektiren bölgesel içtihat uyumu kontrollerinde gözlemlenmiştir.</w:t>
      </w:r>
    </w:p>
    <w:p>
      <w:pPr>
        <w:pStyle w:val="Heading2"/>
        <w:spacing w:after="120" w:before="300"/>
      </w:pPr>
      <w:r>
        <w:t xml:space="preserve">6.3. Hata Analizi</w:t>
      </w:r>
    </w:p>
    <w:p>
      <w:pPr>
        <w:spacing w:after="160" w:line="360"/>
        <w:ind w:firstLine="720"/>
        <w:jc w:val="both"/>
      </w:pPr>
      <w:r>
        <w:rPr>
          <w:rFonts w:ascii="Times New Roman" w:cs="Times New Roman" w:eastAsia="Times New Roman" w:hAnsi="Times New Roman"/>
          <w:sz w:val="24"/>
          <w:szCs w:val="24"/>
        </w:rPr>
        <w:t xml:space="preserve">Yanlış pozitif ve yanlış negatif analizi yapıldığında, hataların üç temel kümede yoğunlaştığı görülmüştür: (1) Yeni çıkan Yargıtay kararlarının bilgi tabanına yansıma gecikmesi, (2) Bölge adliye mahkemeleri arasındaki uygulama farklılıkları, (3) Birden fazla kanunu kesen karma uyuşmazlıklar (ör. HMK + KVKK). Bu bulgular, sürekli bilgi tabanı güncelleme mekanizması ve bölgesel içtihat alt katmanları için gelişim yol haritasını şekillendirmiştir.</w:t>
      </w:r>
    </w:p>
    <w:p>
      <w:r>
        <w:br w:type="page"/>
      </w:r>
    </w:p>
    <w:p>
      <w:pPr>
        <w:pStyle w:val="Heading1"/>
        <w:spacing w:after="120" w:before="300"/>
      </w:pPr>
      <w:r>
        <w:t xml:space="preserve">7. ETİK VE UYUM ÇERÇEVESİ</w:t>
      </w:r>
    </w:p>
    <w:p>
      <w:pPr>
        <w:pStyle w:val="Heading2"/>
        <w:spacing w:after="120" w:before="300"/>
      </w:pPr>
      <w:r>
        <w:t xml:space="preserve">7.1. AB Yapay Zekâ Yasası Uyumluluk Analizi</w:t>
      </w:r>
    </w:p>
    <w:p>
      <w:pPr>
        <w:spacing w:after="160" w:line="360"/>
        <w:ind w:firstLine="720"/>
        <w:jc w:val="both"/>
      </w:pPr>
      <w:r>
        <w:rPr>
          <w:rFonts w:ascii="Times New Roman" w:cs="Times New Roman" w:eastAsia="Times New Roman" w:hAnsi="Times New Roman"/>
          <w:sz w:val="24"/>
          <w:szCs w:val="24"/>
        </w:rPr>
        <w:t xml:space="preserve">PUM; yargı süreçlerinde yapay zekâ kullanan bir sistem olarak AB Yapay Zekâ Yasası'nın Ek III kapsamında yüksek riskli yapay zekâ sistemi statüsüne girmektedir. Yasa kapsamında zorunlu uyum gereklilikleri ve PUM'un bu gereklilikleri nasıl karşıladığı şu şekilde özetlenebilir: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Risk Yönetim Sistemi: Aylık model performans değerlendirmesi ve sapma tespiti ile sürekli izleme mekanizması kurulmuştur.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Veri Yönetimi: Eğitim verisinde vekâlet temsilciliği denetimleri gerçekleştirilmiş; alt bölgeler ve avukat deneyim grupları için dengelenmiş veri sağlanmıştır.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Teknik Dokümantasyon: Model kartları, sistem mimarisi belgeleri ve doğrulama raporları hazırlanmıştır.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Kayıt Tutma: Tüm sistem kararları için otomatik denetim günlükleri tutulmakta ve 7 yıl süreyle saklanmaktadır.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Şeffaflık: Her karar, dayandığı mevzuat hükmü ve güven skoru ile birlikte kullanıcıya sunulmaktadır.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İnsan Denetimi: Kritik kararlar insan onayı gerektirmekte; sistem yalnızca destekleyici bir araç olarak konumlandırılmaktadır.</w:t>
      </w:r>
    </w:p>
    <w:p>
      <w:pPr>
        <w:spacing w:after="160" w:line="360"/>
        <w:ind w:firstLine="720"/>
        <w:jc w:val="both"/>
      </w:pPr>
      <w:r>
        <w:rPr>
          <w:rFonts w:ascii="Times New Roman" w:cs="Times New Roman" w:eastAsia="Times New Roman" w:hAnsi="Times New Roman"/>
          <w:sz w:val="24"/>
          <w:szCs w:val="24"/>
        </w:rPr>
        <w:t xml:space="preserve">Önemli bir düzenleyici not olarak belirtmek gerekir: AB Yapay Zekâ Yasası kapsamında yüksek riskli yükümlülükler Ağustos 2026'da tam uygulamaya girmiş olmakla birlikte, AI Digital Omnibus çerçevesinde Ek III sistemleri için nihai uyum tarihi Aralık 2027'ye ertelenmiştir. Bu gelişme, PUM'un uyum yol haritası için ek esneklik alanı yaratmaktadır.</w:t>
      </w:r>
    </w:p>
    <w:p>
      <w:pPr>
        <w:pStyle w:val="Heading2"/>
        <w:spacing w:after="120" w:before="300"/>
      </w:pPr>
      <w:r>
        <w:t xml:space="preserve">7.2. KVKK / GDPR Uyumu</w:t>
      </w:r>
    </w:p>
    <w:p>
      <w:pPr>
        <w:spacing w:after="160" w:line="360"/>
        <w:ind w:firstLine="720"/>
        <w:jc w:val="both"/>
      </w:pPr>
      <w:r>
        <w:rPr>
          <w:rFonts w:ascii="Times New Roman" w:cs="Times New Roman" w:eastAsia="Times New Roman" w:hAnsi="Times New Roman"/>
          <w:sz w:val="24"/>
          <w:szCs w:val="24"/>
        </w:rPr>
        <w:t xml:space="preserve">Kişisel Verilerin Korunması Kanunu (KVKK) kapsamında PUM, hukuki zorunluluk ve meşru menfaat hukuki dayanaklarına dayalı olarak veri işlemektedir. Temel KVKK uyum önlemleri şunlardır: Veri işleme envanteri (VERBIS kaydı), veri koruma etki değerlendirmesi (DPIA), veri işleyen sözleşmeleri ve müvekkil verilerinin sistematik anonimleştirilmesi.</w:t>
      </w:r>
    </w:p>
    <w:p>
      <w:pPr>
        <w:pStyle w:val="Heading2"/>
        <w:spacing w:after="120" w:before="300"/>
      </w:pPr>
      <w:r>
        <w:t xml:space="preserve">7.3. Barolar ve Mesleki Etik</w:t>
      </w:r>
    </w:p>
    <w:p>
      <w:pPr>
        <w:spacing w:after="160" w:line="360"/>
        <w:ind w:firstLine="720"/>
        <w:jc w:val="both"/>
      </w:pPr>
      <w:r>
        <w:rPr>
          <w:rFonts w:ascii="Times New Roman" w:cs="Times New Roman" w:eastAsia="Times New Roman" w:hAnsi="Times New Roman"/>
          <w:sz w:val="24"/>
          <w:szCs w:val="24"/>
        </w:rPr>
        <w:t xml:space="preserve">Türkiye Barolar Birliği, 2025 yılında avukatlık mesleğinde yapay zekâ kullanımına ilişkin etik yönergeler yayımlamıştır. PUM'un tasarımı bu yönergelerle uyumlu olup şu ilkeleri hayata geçirmektedir: Yapay zekanın hukuki kararlar değil yalnızca öneri sunması, nihai sorumluluğun her zaman avukatta kalması, iş bu yönde yönlendirmesi hâlinde müvekkillerin yapay zekâ kullanımı konusunda bilgilendirilmesi.</w:t>
      </w:r>
    </w:p>
    <w:p>
      <w:r>
        <w:br w:type="page"/>
      </w:r>
    </w:p>
    <w:p>
      <w:pPr>
        <w:pStyle w:val="Heading1"/>
        <w:spacing w:after="120" w:before="300"/>
      </w:pPr>
      <w:r>
        <w:t xml:space="preserve">8. PİYASA VE İŞ MODELİ ANALİZİ</w:t>
      </w:r>
    </w:p>
    <w:p>
      <w:pPr>
        <w:pStyle w:val="Heading2"/>
        <w:spacing w:after="120" w:before="300"/>
      </w:pPr>
      <w:r>
        <w:t xml:space="preserve">8.1. Pazar Büyüklüğü (TAM/SAM/SOM)</w:t>
      </w:r>
    </w:p>
    <w:p>
      <w:pPr>
        <w:spacing w:after="160" w:line="360"/>
        <w:ind w:firstLine="720"/>
        <w:jc w:val="both"/>
      </w:pPr>
      <w:r>
        <w:rPr>
          <w:rFonts w:ascii="Times New Roman" w:cs="Times New Roman" w:eastAsia="Times New Roman" w:hAnsi="Times New Roman"/>
          <w:sz w:val="24"/>
          <w:szCs w:val="24"/>
        </w:rPr>
        <w:t xml:space="preserve">Tablo 2. Türkiye LegalTech Pazar Büyüklüğü Analizi — Segment Bazında TAM</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200"/>
      </w:tblGrid>
      <w:tr>
        <w:tc>
          <w:tcPr>
            <w:shd w:fill="1B433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Segment</w:t>
            </w:r>
          </w:p>
        </w:tc>
        <w:tc>
          <w:tcPr>
            <w:shd w:fill="1B433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Hedef Sayısı</w:t>
            </w:r>
          </w:p>
        </w:tc>
        <w:tc>
          <w:tcPr>
            <w:shd w:fill="1B433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ARPU (TL/yıl)</w:t>
            </w:r>
          </w:p>
        </w:tc>
        <w:tc>
          <w:tcPr>
            <w:shd w:fill="1B433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TAM (M TL)</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Büyük Hukuk Büroları (10+ avukat)</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2.800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85.000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238</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Orta Ölçekli Bürolar (3-10 avukat)</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12.000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42.000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504</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Bireysel Avukatlar</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95.000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1.710</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Kurumsal Hukuk Departmanları</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3.200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120.000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384</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Kamu/Belediye Hukuk Birimleri</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850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95.000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81</w:t>
            </w:r>
          </w:p>
        </w:tc>
      </w:tr>
      <w:tr>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Adliye/Mahkeme Entegrasyonu</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5.400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135.000</w:t>
            </w:r>
          </w:p>
        </w:tc>
        <w:tc>
          <w:tcPr>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729</w:t>
            </w:r>
          </w:p>
        </w:tc>
      </w:tr>
      <w:tr>
        <w:tc>
          <w:tcPr>
            <w:shd w:fill="D8F3D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TOPLAM</w:t>
            </w:r>
          </w:p>
        </w:tc>
        <w:tc>
          <w:tcPr>
            <w:shd w:fill="D8F3D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shd w:fill="D8F3D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shd w:fill="D8F3D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~3.646</w:t>
            </w:r>
          </w:p>
        </w:tc>
      </w:tr>
    </w:tbl>
    <w:p>
      <w:pPr>
        <w:spacing w:after="200"/>
      </w:pPr>
    </w:p>
    <w:p>
      <w:pPr>
        <w:spacing w:after="160" w:line="360"/>
        <w:ind w:firstLine="720"/>
        <w:jc w:val="both"/>
      </w:pPr>
      <w:r>
        <w:rPr>
          <w:rFonts w:ascii="Times New Roman" w:cs="Times New Roman" w:eastAsia="Times New Roman" w:hAnsi="Times New Roman"/>
          <w:sz w:val="24"/>
          <w:szCs w:val="24"/>
        </w:rPr>
        <w:t xml:space="preserve">Toplam Adreslenebilir Pazar (TAM) yıllık yaklaşık 3.646 milyon TL olarak hesaplanmıştır. Hizmet Verilebilir Adreslenebilir Pazar (SAM), erken benimseme eğilimi yüksek büyük ve orta ölçekli hukuk büroları ile kurumsal departmanları kapsayan yaklaşık 1.126 milyon TL olarak tahmin edilmektedir. Beşinci yılda ulaşılabilmesi hedeflenen Hizmet Verilebilir Elde Edilebilir Pazar (SOM) ise 178 milyon TL'dir.</w:t>
      </w:r>
    </w:p>
    <w:p>
      <w:pPr>
        <w:pStyle w:val="Heading2"/>
        <w:spacing w:after="120" w:before="300"/>
      </w:pPr>
      <w:r>
        <w:t xml:space="preserve">8.2. İş Modeli ve Gelir Akışları</w:t>
      </w:r>
    </w:p>
    <w:p>
      <w:pPr>
        <w:spacing w:after="160" w:line="360"/>
        <w:ind w:firstLine="720"/>
        <w:jc w:val="both"/>
      </w:pPr>
      <w:r>
        <w:rPr>
          <w:rFonts w:ascii="Times New Roman" w:cs="Times New Roman" w:eastAsia="Times New Roman" w:hAnsi="Times New Roman"/>
          <w:sz w:val="24"/>
          <w:szCs w:val="24"/>
        </w:rPr>
        <w:t xml:space="preserve">PUM, katmanlı SaaS abonelik modeli üzerine kurgulanmıştır: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Başlangıç Planı (Bireysel Avukat): Aylık ₺1.500 — 50 belge/ay, temel usul denetimi.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Profesyonel Plan (Küçük Büro): Aylık ₺7.500 — sınırsız belge, tam RAG, öncelikli destek.</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Kurumsal Plan (Büyük Büro/Şirket): Yıllık ₺120.000+ — API erişimi, özel ince ayar, SLA garantisi.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Kamu/Adalet Bakanlığı: Proje tabanlı lisanslama ve özel entegrasyon.</w:t>
      </w:r>
    </w:p>
    <w:p>
      <w:pPr>
        <w:pStyle w:val="Heading2"/>
        <w:spacing w:after="120" w:before="300"/>
      </w:pPr>
      <w:r>
        <w:t xml:space="preserve">8.3. Finansal Projeksiyon</w:t>
      </w:r>
    </w:p>
    <w:p>
      <w:pPr>
        <w:spacing w:after="160" w:line="360"/>
        <w:ind w:firstLine="720"/>
        <w:jc w:val="both"/>
      </w:pPr>
      <w:r>
        <w:rPr>
          <w:rFonts w:ascii="Times New Roman" w:cs="Times New Roman" w:eastAsia="Times New Roman" w:hAnsi="Times New Roman"/>
          <w:sz w:val="24"/>
          <w:szCs w:val="24"/>
        </w:rPr>
        <w:t xml:space="preserve">Ön tohum aşamasında 15-20 öz sermaye karşılığında talep edilen ₺2,5 milyon yatırım; teknik ekip genişletme (₺1,1M), UYAP sertifikasyon süreci (₺0,4M), satış ve pazarlama (₺0,6M) ve altyapı (₺0,4M) kalemlerine dağıtılacaktır. Beşinci yılda aylık yinelenen gelir (MRR) hedefi ₺14,8 milyon olarak belirlenmiştir.</w:t>
      </w:r>
    </w:p>
    <w:p>
      <w:r>
        <w:br w:type="page"/>
      </w:r>
    </w:p>
    <w:p>
      <w:pPr>
        <w:pStyle w:val="Heading1"/>
        <w:spacing w:after="120" w:before="300"/>
      </w:pPr>
      <w:r>
        <w:t xml:space="preserve">9. TARTIŞMA</w:t>
      </w:r>
    </w:p>
    <w:p>
      <w:pPr>
        <w:spacing w:after="160" w:line="360"/>
        <w:ind w:firstLine="720"/>
        <w:jc w:val="both"/>
      </w:pPr>
      <w:r>
        <w:rPr>
          <w:rFonts w:ascii="Times New Roman" w:cs="Times New Roman" w:eastAsia="Times New Roman" w:hAnsi="Times New Roman"/>
          <w:sz w:val="24"/>
          <w:szCs w:val="24"/>
        </w:rPr>
        <w:t xml:space="preserve">Bu çalışmanın bulgular; Türk hukuki NLP alanında üç önemli mesaja işaret etmektedir. İlk olarak, alan uyarlamasının etkinliği açısından değerlendirildiğinde, BERTurk'ün hukuki metinler üzerinde ince ayarı —HukukBERT gibi kendi başına eğitilmiş modellerle kıyaslandığında bile— oldukça rekabetçi performans sergilemektedir. Bu bulgu, sınırlı kaynakla uygulanabilir LegalTech çözümleri geliştirmek isteyen araştırmacı ve girişimciler için önemli bir çıkarım sunmaktadır.</w:t>
      </w:r>
    </w:p>
    <w:p>
      <w:pPr>
        <w:spacing w:after="160" w:line="360"/>
        <w:ind w:firstLine="720"/>
        <w:jc w:val="both"/>
      </w:pPr>
      <w:r>
        <w:rPr>
          <w:rFonts w:ascii="Times New Roman" w:cs="Times New Roman" w:eastAsia="Times New Roman" w:hAnsi="Times New Roman"/>
          <w:sz w:val="24"/>
          <w:szCs w:val="24"/>
        </w:rPr>
        <w:t xml:space="preserve">İkinci olarak, RAG ve ince ayarın birleşimi yalnızca herhangi birinin tek başına kullanılmasına kıyasla anlamlı ölçüde üstün sonuçlar doğurmaktadır. Bu mimari kararın hem makine öğrenimi hem de yazılım mühendisliği maliyetleri açısından ödünleşimleri büyük önem taşımaktadır.</w:t>
      </w:r>
    </w:p>
    <w:p>
      <w:pPr>
        <w:spacing w:after="160" w:line="360"/>
        <w:ind w:firstLine="720"/>
        <w:jc w:val="both"/>
      </w:pPr>
      <w:r>
        <w:rPr>
          <w:rFonts w:ascii="Times New Roman" w:cs="Times New Roman" w:eastAsia="Times New Roman" w:hAnsi="Times New Roman"/>
          <w:sz w:val="24"/>
          <w:szCs w:val="24"/>
        </w:rPr>
        <w:t xml:space="preserve">Üçüncü olarak, AB Yapay Zekâ Yasası uyumu, tasarım kısıtlamaları açısından önemli mimari etkilere yol açmaktadır. İnsan denetimi, açıklanabilirlik ve denetlenebilirlik gereklilikleri; salt teknik performans odaklı bir yaklaşımla inşa edilecek sistemden esasen farklı bir mimari yapıyı zorunlu kılmaktadır.</w:t>
      </w:r>
    </w:p>
    <w:p>
      <w:pPr>
        <w:spacing w:after="160" w:line="360"/>
        <w:ind w:firstLine="720"/>
        <w:jc w:val="both"/>
      </w:pPr>
      <w:r>
        <w:rPr>
          <w:rFonts w:ascii="Times New Roman" w:cs="Times New Roman" w:eastAsia="Times New Roman" w:hAnsi="Times New Roman"/>
          <w:sz w:val="24"/>
          <w:szCs w:val="24"/>
        </w:rPr>
        <w:t xml:space="preserve">Çalışmanın kısıtları arasında şunlar sayılabilir: birincisi, Türk yargı alanındaki içtihat değişiminin hızı nedeniyle bilgi tabanının sürekli güncelleme gerektirmesi; ikincisi, bölgesel uygulamanın Yargıtay içtihadı ile yerel mahkeme pratikleri arasındaki uyum boşlukları; üçüncüsü, adliye düzeyinde yüksek kaliteli etiketlenmiş hukuki veri erişiminin sınırlılığı.</w:t>
      </w:r>
    </w:p>
    <w:p>
      <w:pPr>
        <w:pStyle w:val="Heading1"/>
        <w:spacing w:after="120" w:before="300"/>
      </w:pPr>
      <w:r>
        <w:t xml:space="preserve">10. SONUÇ VE GELECEKTEKİ ÇALIŞMALAR</w:t>
      </w:r>
    </w:p>
    <w:p>
      <w:pPr>
        <w:spacing w:after="160" w:line="360"/>
        <w:ind w:firstLine="720"/>
        <w:jc w:val="both"/>
      </w:pPr>
      <w:r>
        <w:rPr>
          <w:rFonts w:ascii="Times New Roman" w:cs="Times New Roman" w:eastAsia="Times New Roman" w:hAnsi="Times New Roman"/>
          <w:sz w:val="24"/>
          <w:szCs w:val="24"/>
        </w:rPr>
        <w:t xml:space="preserve">Bu tez çalışması, Prosedürel Uyum Muhafızı (PUM)'nun teknik tasarımını, deneysel değerlendirmesini ve iş modeli analizini sunmaktadır. Sistem; %98,0 doğruluk, F1 Makro 0,9033 ve BM25 taban çizgisinin %87 üzerinde nDCG@5 ile güçlü kantitatif performans sergilemiştir. Bunun yanı sıra PUM, AB Yapay Zekâ Yasası'nın yüksek riskli sistem gerekliliklerini karşılayan mimarisiyle etik açıdan sorumlu bir yapay zekâ çerçevesini hayata geçirmektedir.</w:t>
      </w:r>
    </w:p>
    <w:p>
      <w:pPr>
        <w:spacing w:after="160" w:line="360"/>
        <w:ind w:firstLine="720"/>
        <w:jc w:val="both"/>
      </w:pPr>
      <w:r>
        <w:rPr>
          <w:rFonts w:ascii="Times New Roman" w:cs="Times New Roman" w:eastAsia="Times New Roman" w:hAnsi="Times New Roman"/>
          <w:sz w:val="24"/>
          <w:szCs w:val="24"/>
        </w:rPr>
        <w:t xml:space="preserve">Türkiye'deki yargı krizinin —40 milyonun üzerinde dosya ve günlük 3.300 yeni dava— çözümünde PUM'un sunduğu usul uyumu otomasyonu, hem kamusal yararı olan bir araç hem de ticari açıdan sürdürülebilir bir iş fırsatı olarak değerlendirilebilir.</w:t>
      </w:r>
    </w:p>
    <w:p>
      <w:pPr>
        <w:spacing w:after="160" w:line="360"/>
        <w:ind w:firstLine="720"/>
        <w:jc w:val="both"/>
      </w:pPr>
      <w:r>
        <w:rPr>
          <w:rFonts w:ascii="Times New Roman" w:cs="Times New Roman" w:eastAsia="Times New Roman" w:hAnsi="Times New Roman"/>
          <w:sz w:val="24"/>
          <w:szCs w:val="24"/>
        </w:rPr>
        <w:t xml:space="preserve">Gelecek çalışmalar için önerilen yönler şunlardır: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HukukBERT entegrasyonu: 18 GB hukuki derlemle öneğitim yapılmış HukukBERT modeline geçiş, performansın daha da iyileştirilmesini sağlayabilir.</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Çok modlu belge analizi: El yazısı notlar, damgalar ve imzaları işleyebilecek görüntü-metin entegrasyon modülleri.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Gerçek zamanlı mevzuat izleme: Resmî Gazete ve UYAP veri akışlarını anlık takip eden otonom bilgi tabanı güncelleme sistemi.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Federatif öğrenme: Avukatlara ait verilerin merkezi sunucuya aktarılmasına gerek kalmaksızın bürolar genelinde modeli iyileştiren gizlilik korumalı eğitim mimarisi.</w:t>
      </w:r>
    </w:p>
    <w:p>
      <w:pPr>
        <w:pStyle w:val="ListParagraph"/>
        <w:numPr>
          <w:ilvl w:val="0"/>
          <w:numId w:val="1"/>
        </w:numPr>
        <w:spacing w:after="80" w:line="320"/>
        <w:ind w:left="720"/>
        <w:jc w:val="both"/>
      </w:pPr>
      <w:r>
        <w:rPr>
          <w:rFonts w:ascii="Times New Roman" w:cs="Times New Roman" w:eastAsia="Times New Roman" w:hAnsi="Times New Roman"/>
          <w:sz w:val="24"/>
          <w:szCs w:val="24"/>
        </w:rPr>
        <w:t xml:space="preserve">İdari yargı genişlemesi: CMK ve HMK'ya ek olarak vergi hukuku ve idare hukukunun kapsama alınması.</w:t>
      </w:r>
    </w:p>
    <w:p>
      <w:r>
        <w:br w:type="page"/>
      </w:r>
    </w:p>
    <w:p>
      <w:pPr>
        <w:pStyle w:val="Heading1"/>
        <w:spacing w:after="120" w:before="300"/>
      </w:pPr>
      <w:r>
        <w:t xml:space="preserve">KAYNAKÇA</w:t>
      </w:r>
    </w:p>
    <w:p>
      <w:pPr>
        <w:spacing w:after="120" w:line="320"/>
        <w:ind w:left="720" w:hanging="720"/>
        <w:jc w:val="both"/>
      </w:pPr>
      <w:r>
        <w:rPr>
          <w:rFonts w:ascii="Times New Roman" w:cs="Times New Roman" w:eastAsia="Times New Roman" w:hAnsi="Times New Roman"/>
          <w:sz w:val="22"/>
          <w:szCs w:val="22"/>
        </w:rPr>
        <w:t xml:space="preserve">Ayaz, S. (2025). Yapay Zekânın Hukuk Alanındaki Uygulamaları ve Hukuk Alanında Kullanılmasının Olası Sonuçları. Sakarya Üniversitesi Hukuk Fakültesi Dergisi, 13(1), 80–108. https://doi.org/10.56701/shd.1566441</w:t>
      </w:r>
    </w:p>
    <w:p>
      <w:pPr>
        <w:spacing w:after="120" w:line="320"/>
        <w:ind w:left="720" w:hanging="720"/>
        <w:jc w:val="both"/>
      </w:pPr>
      <w:r>
        <w:rPr>
          <w:rFonts w:ascii="Times New Roman" w:cs="Times New Roman" w:eastAsia="Times New Roman" w:hAnsi="Times New Roman"/>
          <w:sz w:val="22"/>
          <w:szCs w:val="22"/>
        </w:rPr>
        <w:t xml:space="preserve">Aydemir, E. (2023). Estimation of Turkish Constitutional Court Decisions in Terms of Admissibility with NLP. 2023 IV International Conference on Neural Networks and Neurotechnologies (NeuroNT), IEEE, 17–20.</w:t>
      </w:r>
    </w:p>
    <w:p>
      <w:pPr>
        <w:spacing w:after="120" w:line="320"/>
        <w:ind w:left="720" w:hanging="720"/>
        <w:jc w:val="both"/>
      </w:pPr>
      <w:r>
        <w:rPr>
          <w:rFonts w:ascii="Times New Roman" w:cs="Times New Roman" w:eastAsia="Times New Roman" w:hAnsi="Times New Roman"/>
          <w:sz w:val="22"/>
          <w:szCs w:val="22"/>
        </w:rPr>
        <w:t xml:space="preserve">Bıçak, V. (2026, 11 Şubat). Hukuk Hizmetlerine Yapay Zekânın Entegrasyonu: Fırsatlar, Riskler ve Stratejik Yaklaşımlar. Bıçak Hukuk Bürosu. https://www.bicakhukuk.com</w:t>
      </w:r>
    </w:p>
    <w:p>
      <w:pPr>
        <w:spacing w:after="120" w:line="320"/>
        <w:ind w:left="720" w:hanging="720"/>
        <w:jc w:val="both"/>
      </w:pPr>
      <w:r>
        <w:rPr>
          <w:rFonts w:ascii="Times New Roman" w:cs="Times New Roman" w:eastAsia="Times New Roman" w:hAnsi="Times New Roman"/>
          <w:sz w:val="22"/>
          <w:szCs w:val="22"/>
        </w:rPr>
        <w:t xml:space="preserve">European Union. (2024). Regulation (EU) 2024/1689 of the European Parliament and of the Council on Artificial Intelligence (Artificial Intelligence Act). Official Journal of the European Union.</w:t>
      </w:r>
    </w:p>
    <w:p>
      <w:pPr>
        <w:spacing w:after="120" w:line="320"/>
        <w:ind w:left="720" w:hanging="720"/>
        <w:jc w:val="both"/>
      </w:pPr>
      <w:r>
        <w:rPr>
          <w:rFonts w:ascii="Times New Roman" w:cs="Times New Roman" w:eastAsia="Times New Roman" w:hAnsi="Times New Roman"/>
          <w:sz w:val="22"/>
          <w:szCs w:val="22"/>
        </w:rPr>
        <w:t xml:space="preserve">Gazi Üniversitesi Fen Bilimleri Dergisi. (2025). Türkiye'de Emsal Kararların Makine Öğrenmesi Algoritmaları ile Sınıflandırılması. Gazi Üniversitesi Fen Bilimleri Dergisi Part C: Tasarım ve Teknoloji.</w:t>
      </w:r>
    </w:p>
    <w:p>
      <w:pPr>
        <w:spacing w:after="120" w:line="320"/>
        <w:ind w:left="720" w:hanging="720"/>
        <w:jc w:val="both"/>
      </w:pPr>
      <w:r>
        <w:rPr>
          <w:rFonts w:ascii="Times New Roman" w:cs="Times New Roman" w:eastAsia="Times New Roman" w:hAnsi="Times New Roman"/>
          <w:sz w:val="22"/>
          <w:szCs w:val="22"/>
        </w:rPr>
        <w:t xml:space="preserve">Kıyak, E. (2020). Büyük Veri ve Yapay Zekâ Teknolojileri ile Adım Adım Zeki UYAP. Dokuz Eylül Üniversitesi Hukuk Fakültesi. https://hukuk.deu.edu.tr/wp-content/uploads/2020/05/EMRE-KIYAK.pdf</w:t>
      </w:r>
    </w:p>
    <w:p>
      <w:pPr>
        <w:spacing w:after="120" w:line="320"/>
        <w:ind w:left="720" w:hanging="720"/>
        <w:jc w:val="both"/>
      </w:pPr>
      <w:r>
        <w:rPr>
          <w:rFonts w:ascii="Times New Roman" w:cs="Times New Roman" w:eastAsia="Times New Roman" w:hAnsi="Times New Roman"/>
          <w:sz w:val="22"/>
          <w:szCs w:val="22"/>
        </w:rPr>
        <w:t xml:space="preserve">Küçük, D. &amp; Can, F. (2024). Hukuki metinlerin otomatik işlenmesinde yapay zekâ teknolojilerinin kullanımı. Bilişim Hukuku Dergisi, 2024(1), 29–53. https://doi.org/10.59752/bhd.1451000</w:t>
      </w:r>
    </w:p>
    <w:p>
      <w:pPr>
        <w:spacing w:after="120" w:line="320"/>
        <w:ind w:left="720" w:hanging="720"/>
        <w:jc w:val="both"/>
      </w:pPr>
      <w:r>
        <w:rPr>
          <w:rFonts w:ascii="Times New Roman" w:cs="Times New Roman" w:eastAsia="Times New Roman" w:hAnsi="Times New Roman"/>
          <w:sz w:val="22"/>
          <w:szCs w:val="22"/>
        </w:rPr>
        <w:t xml:space="preserve">Öztürk, M. U. ve ark. (2026). HukukBERT: Domain-Specific Language Model for Turkish Law. arXiv:2604.04790.</w:t>
      </w:r>
    </w:p>
    <w:p>
      <w:pPr>
        <w:spacing w:after="120" w:line="320"/>
        <w:ind w:left="720" w:hanging="720"/>
        <w:jc w:val="both"/>
      </w:pPr>
      <w:r>
        <w:rPr>
          <w:rFonts w:ascii="Times New Roman" w:cs="Times New Roman" w:eastAsia="Times New Roman" w:hAnsi="Times New Roman"/>
          <w:sz w:val="22"/>
          <w:szCs w:val="22"/>
        </w:rPr>
        <w:t xml:space="preserve">Schweter, S. (2020). BERTurk: BERT Models for Turkish. Zenodo. https://doi.org/10.5281/zenodo.3770924</w:t>
      </w:r>
    </w:p>
    <w:p>
      <w:pPr>
        <w:spacing w:after="120" w:line="320"/>
        <w:ind w:left="720" w:hanging="720"/>
        <w:jc w:val="both"/>
      </w:pPr>
      <w:r>
        <w:rPr>
          <w:rFonts w:ascii="Times New Roman" w:cs="Times New Roman" w:eastAsia="Times New Roman" w:hAnsi="Times New Roman"/>
          <w:sz w:val="22"/>
          <w:szCs w:val="22"/>
        </w:rPr>
        <w:t xml:space="preserve">Turker, M., Kızıloğlu, A., Güngör, O. &amp; Üsküdarlı, S. (2025). TabiBERT: A Large-Scale ModernBERT Foundation Model and Unified Benchmarking Framework for Turkish.</w:t>
      </w:r>
    </w:p>
    <w:p>
      <w:pPr>
        <w:spacing w:after="120" w:line="320"/>
        <w:ind w:left="720" w:hanging="720"/>
        <w:jc w:val="both"/>
      </w:pPr>
      <w:r>
        <w:rPr>
          <w:rFonts w:ascii="Times New Roman" w:cs="Times New Roman" w:eastAsia="Times New Roman" w:hAnsi="Times New Roman"/>
          <w:sz w:val="22"/>
          <w:szCs w:val="22"/>
        </w:rPr>
        <w:t xml:space="preserve">TÜBİTAK. (2025). Destek Süreçlerinde Üretken Yapay Zekânın (ÜYZ) Sorumlu ve Güvenilir Kullanımı Rehberi. TÜBİTAK.</w:t>
      </w:r>
    </w:p>
    <w:p>
      <w:pPr>
        <w:spacing w:after="120" w:line="320"/>
        <w:ind w:left="720" w:hanging="720"/>
        <w:jc w:val="both"/>
      </w:pPr>
      <w:r>
        <w:rPr>
          <w:rFonts w:ascii="Times New Roman" w:cs="Times New Roman" w:eastAsia="Times New Roman" w:hAnsi="Times New Roman"/>
          <w:sz w:val="22"/>
          <w:szCs w:val="22"/>
        </w:rPr>
        <w:t xml:space="preserve">Veri, Güç ve Adalet: Hukukta Yapay Zekâ. (2025). dergipark.org.tr. https://dergipark.org.tr/tr/download/article-file/5022270</w:t>
      </w:r>
    </w:p>
    <w:p>
      <w:pPr>
        <w:spacing w:after="120" w:line="320"/>
        <w:ind w:left="720" w:hanging="720"/>
        <w:jc w:val="both"/>
      </w:pPr>
      <w:r>
        <w:rPr>
          <w:rFonts w:ascii="Times New Roman" w:cs="Times New Roman" w:eastAsia="Times New Roman" w:hAnsi="Times New Roman"/>
          <w:sz w:val="22"/>
          <w:szCs w:val="22"/>
        </w:rPr>
        <w:t xml:space="preserve">Zeidi, F. ve ark. (2024). LegalTurk: Optimized BERT for Multi-Label Text Classification and NER. ResearchGate. https://www.researchgate.net/publication/381882441</w:t>
      </w:r>
    </w:p>
    <w:p>
      <w:pPr>
        <w:spacing w:after="120" w:line="320"/>
        <w:ind w:left="720" w:hanging="720"/>
        <w:jc w:val="both"/>
      </w:pPr>
      <w:r>
        <w:rPr>
          <w:rFonts w:ascii="Times New Roman" w:cs="Times New Roman" w:eastAsia="Times New Roman" w:hAnsi="Times New Roman"/>
          <w:sz w:val="22"/>
          <w:szCs w:val="22"/>
        </w:rPr>
        <w:t xml:space="preserve">Zhong, H., Xiao, C., Tu, C., Zhang, T., Liu, Z. &amp; Sun, M. (2020). How does NLP benefit legal system: A summary of legal artificial intelligence. arXiv:2004.12158</w:t>
      </w:r>
    </w:p>
    <w:p>
      <w:pPr>
        <w:spacing w:after="120" w:line="320"/>
        <w:ind w:left="720" w:hanging="720"/>
        <w:jc w:val="both"/>
      </w:pPr>
      <w:r>
        <w:rPr>
          <w:rFonts w:ascii="Times New Roman" w:cs="Times New Roman" w:eastAsia="Times New Roman" w:hAnsi="Times New Roman"/>
          <w:sz w:val="22"/>
          <w:szCs w:val="22"/>
        </w:rPr>
        <w:t xml:space="preserve">2023 Bilkent KocLab. (2023). BERTurk-Legal: A Transformer-Based Prior Legal Case Retrieval Method. IEEE. https://ieeexplore.ieee.org/abstract/document/10223938</w:t>
      </w:r>
    </w:p>
    <w:p>
      <w:pPr>
        <w:spacing w:after="120" w:line="320"/>
        <w:ind w:left="720" w:hanging="720"/>
        <w:jc w:val="both"/>
      </w:pPr>
      <w:r>
        <w:rPr>
          <w:rFonts w:ascii="Times New Roman" w:cs="Times New Roman" w:eastAsia="Times New Roman" w:hAnsi="Times New Roman"/>
          <w:sz w:val="22"/>
          <w:szCs w:val="22"/>
        </w:rPr>
        <w:t xml:space="preserve">EU AI Act High-Risk Timeline. (2026). https://lawandmore.eu/eu-artificial-intelligence-act-ai-act/</w:t>
      </w:r>
    </w:p>
    <w:p>
      <w:pPr>
        <w:spacing w:after="120" w:line="320"/>
        <w:ind w:left="720" w:hanging="720"/>
        <w:jc w:val="both"/>
      </w:pPr>
      <w:r>
        <w:rPr>
          <w:rFonts w:ascii="Times New Roman" w:cs="Times New Roman" w:eastAsia="Times New Roman" w:hAnsi="Times New Roman"/>
          <w:sz w:val="22"/>
          <w:szCs w:val="22"/>
        </w:rPr>
        <w:t xml:space="preserve">Nişantaşı Üniversitesi. (2026). Bilgi Teknolojileri ve Proje Yönetimi Ders Notları. Mühendislik Fakültesi.</w:t>
      </w:r>
    </w:p>
    <w:sectPr>
      <w:pgSz w:w="12240" w:h="1728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80"/>
    </w:pPr>
    <w:rPr>
      <w:rFonts w:ascii="Times New Roman" w:cs="Times New Roman" w:eastAsia="Times New Roman" w:hAnsi="Times New Roman"/>
      <w:b/>
      <w:bCs/>
      <w:color w:val="1B4332"/>
      <w:sz w:val="32"/>
      <w:szCs w:val="32"/>
    </w:rPr>
  </w:style>
  <w:style w:type="paragraph" w:styleId="Heading2">
    <w:name w:val="Heading 2"/>
    <w:basedOn w:val="Normal"/>
    <w:pPr>
      <w:spacing w:after="160" w:before="320"/>
    </w:pPr>
    <w:rPr>
      <w:rFonts w:ascii="Times New Roman" w:cs="Times New Roman" w:eastAsia="Times New Roman" w:hAnsi="Times New Roman"/>
      <w:b/>
      <w:bCs/>
      <w:color w:val="2D6A4F"/>
      <w:sz w:val="28"/>
      <w:szCs w:val="28"/>
    </w:rPr>
  </w:style>
  <w:style w:type="paragraph" w:styleId="Heading3">
    <w:name w:val="Heading 3"/>
    <w:basedOn w:val="Normal"/>
    <w:pPr>
      <w:spacing w:after="120" w:before="240"/>
    </w:pPr>
    <w:rPr>
      <w:rFonts w:ascii="Times New Roman" w:cs="Times New Roman" w:eastAsia="Times New Roman" w:hAnsi="Times New Roman"/>
      <w:b/>
      <w:bCs/>
      <w:i/>
      <w:iCs/>
      <w:color w:val="4091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2026-09-27T08:52:43.068Z</dcterms:created>
  <dcterms:modified xsi:type="dcterms:W3CDTF">2026-09-27T08:52:43.076Z</dcterms:modified>
</cp:coreProperties>
</file>

<file path=docProps/custom.xml><?xml version="1.0" encoding="utf-8"?>
<Properties xmlns="http://schemas.openxmlformats.org/officeDocument/2006/custom-properties" xmlns:vt="http://schemas.openxmlformats.org/officeDocument/2006/docPropsVTypes"/>
</file>