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p>
    <w:p>
      <w:pPr>
        <w:spacing w:after="120" w:before="120"/>
      </w:pPr>
    </w:p>
    <w:p>
      <w:pPr>
        <w:spacing w:after="120" w:before="120"/>
      </w:pPr>
    </w:p>
    <w:p>
      <w:pPr>
        <w:spacing w:after="120" w:before="120"/>
        <w:jc w:val="center"/>
      </w:pPr>
      <w:r>
        <w:rPr>
          <w:rFonts w:ascii="Times New Roman" w:cs="Times New Roman" w:eastAsia="Times New Roman" w:hAnsi="Times New Roman"/>
          <w:b/>
          <w:bCs/>
          <w:sz w:val="28"/>
          <w:szCs w:val="28"/>
        </w:rPr>
        <w:t xml:space="preserve">NİŞANTAŞI ÜNİVERSİTESİ</w:t>
      </w:r>
    </w:p>
    <w:p>
      <w:pPr>
        <w:spacing w:after="120" w:before="120"/>
        <w:jc w:val="center"/>
      </w:pPr>
      <w:r>
        <w:rPr>
          <w:rFonts w:ascii="Times New Roman" w:cs="Times New Roman" w:eastAsia="Times New Roman" w:hAnsi="Times New Roman"/>
          <w:sz w:val="26"/>
          <w:szCs w:val="26"/>
        </w:rPr>
        <w:t xml:space="preserve">Mühendislik ve Mimarlık Fakültesi</w:t>
      </w:r>
    </w:p>
    <w:p>
      <w:pPr>
        <w:spacing w:after="120" w:before="120"/>
        <w:jc w:val="center"/>
      </w:pPr>
      <w:r>
        <w:rPr>
          <w:rFonts w:ascii="Times New Roman" w:cs="Times New Roman" w:eastAsia="Times New Roman" w:hAnsi="Times New Roman"/>
          <w:sz w:val="26"/>
          <w:szCs w:val="26"/>
        </w:rPr>
        <w:t xml:space="preserve">Yapay Zeka Yüksek Lisans Programı</w:t>
      </w:r>
    </w:p>
    <w:p>
      <w:pPr>
        <w:spacing w:after="120" w:before="120"/>
      </w:pPr>
    </w:p>
    <w:p>
      <w:pPr>
        <w:spacing w:after="120" w:before="120"/>
      </w:pPr>
    </w:p>
    <w:p>
      <w:pPr>
        <w:spacing w:after="120" w:before="120"/>
        <w:jc w:val="center"/>
      </w:pPr>
      <w:r>
        <w:rPr>
          <w:rFonts w:ascii="Times New Roman" w:cs="Times New Roman" w:eastAsia="Times New Roman" w:hAnsi="Times New Roman"/>
          <w:b/>
          <w:bCs/>
          <w:color w:val="1F3864"/>
          <w:sz w:val="32"/>
          <w:szCs w:val="32"/>
        </w:rPr>
        <w:t xml:space="preserve">PROSEDÜRELUyum Muhafızı (PUM)</w:t>
      </w:r>
    </w:p>
    <w:p>
      <w:pPr>
        <w:spacing w:after="120" w:before="120"/>
        <w:jc w:val="center"/>
      </w:pPr>
      <w:r>
        <w:rPr>
          <w:rFonts w:ascii="Times New Roman" w:cs="Times New Roman" w:eastAsia="Times New Roman" w:hAnsi="Times New Roman"/>
          <w:b/>
          <w:bCs/>
          <w:color w:val="2E5090"/>
          <w:sz w:val="26"/>
          <w:szCs w:val="26"/>
        </w:rPr>
        <w:t xml:space="preserve">UYAP 2.0 Entegre AI SaaS Platformu</w:t>
      </w:r>
    </w:p>
    <w:p>
      <w:pPr>
        <w:spacing w:after="120" w:before="120"/>
      </w:pPr>
    </w:p>
    <w:p>
      <w:pPr>
        <w:spacing w:after="120" w:before="120"/>
        <w:jc w:val="center"/>
      </w:pPr>
      <w:r>
        <w:rPr>
          <w:rFonts w:ascii="Times New Roman" w:cs="Times New Roman" w:eastAsia="Times New Roman" w:hAnsi="Times New Roman"/>
          <w:i/>
          <w:iCs/>
          <w:sz w:val="24"/>
          <w:szCs w:val="24"/>
        </w:rPr>
        <w:t xml:space="preserve">Türk Hukuk Sisteminde Yapay Zeka Destekli
Prosedürel Uyum Denetimi</w:t>
      </w:r>
    </w:p>
    <w:p>
      <w:pPr>
        <w:spacing w:after="120" w:before="120"/>
      </w:pPr>
    </w:p>
    <w:p>
      <w:pPr>
        <w:spacing w:after="120" w:before="120"/>
      </w:pPr>
    </w:p>
    <w:p>
      <w:pPr>
        <w:spacing w:after="120" w:before="120"/>
        <w:jc w:val="center"/>
      </w:pPr>
      <w:r>
        <w:rPr>
          <w:rFonts w:ascii="Times New Roman" w:cs="Times New Roman" w:eastAsia="Times New Roman" w:hAnsi="Times New Roman"/>
          <w:b/>
          <w:bCs/>
          <w:sz w:val="22"/>
          <w:szCs w:val="22"/>
        </w:rPr>
        <w:t xml:space="preserve">BİTİRME TEZİ / SEMİNER SUNUMU</w:t>
      </w:r>
    </w:p>
    <w:p>
      <w:pPr>
        <w:spacing w:after="120" w:before="120"/>
      </w:pPr>
    </w:p>
    <w:p>
      <w:pPr>
        <w:spacing w:after="120" w:before="120"/>
      </w:pPr>
    </w:p>
    <w:p>
      <w:pPr>
        <w:spacing w:after="120" w:before="120"/>
        <w:jc w:val="center"/>
      </w:pPr>
      <w:r>
        <w:rPr>
          <w:rFonts w:ascii="Times New Roman" w:cs="Times New Roman" w:eastAsia="Times New Roman" w:hAnsi="Times New Roman"/>
          <w:sz w:val="24"/>
          <w:szCs w:val="24"/>
        </w:rPr>
        <w:t xml:space="preserve">Hazırlayan: Mehmet</w:t>
      </w:r>
    </w:p>
    <w:p>
      <w:pPr>
        <w:spacing w:after="120" w:before="120"/>
      </w:pPr>
    </w:p>
    <w:p>
      <w:pPr>
        <w:spacing w:after="120" w:before="120"/>
        <w:jc w:val="center"/>
      </w:pPr>
      <w:r>
        <w:rPr>
          <w:rFonts w:ascii="Times New Roman" w:cs="Times New Roman" w:eastAsia="Times New Roman" w:hAnsi="Times New Roman"/>
          <w:b/>
          <w:bCs/>
          <w:sz w:val="22"/>
          <w:szCs w:val="22"/>
        </w:rPr>
        <w:t xml:space="preserve">Danışmanlar:</w:t>
      </w:r>
    </w:p>
    <w:p>
      <w:pPr>
        <w:spacing w:after="120" w:before="120"/>
        <w:jc w:val="center"/>
      </w:pPr>
      <w:r>
        <w:rPr>
          <w:rFonts w:ascii="Times New Roman" w:cs="Times New Roman" w:eastAsia="Times New Roman" w:hAnsi="Times New Roman"/>
          <w:sz w:val="22"/>
          <w:szCs w:val="22"/>
        </w:rPr>
        <w:t xml:space="preserve">Dr. Öğr. Üyesi Ulaş Vural</w:t>
      </w:r>
    </w:p>
    <w:p>
      <w:pPr>
        <w:spacing w:after="120" w:before="120"/>
        <w:jc w:val="center"/>
      </w:pPr>
      <w:r>
        <w:rPr>
          <w:rFonts w:ascii="Times New Roman" w:cs="Times New Roman" w:eastAsia="Times New Roman" w:hAnsi="Times New Roman"/>
          <w:sz w:val="22"/>
          <w:szCs w:val="22"/>
        </w:rPr>
        <w:t xml:space="preserve">Dr. Ali Özkurt</w:t>
      </w:r>
    </w:p>
    <w:p>
      <w:pPr>
        <w:spacing w:after="120" w:before="120"/>
      </w:pPr>
    </w:p>
    <w:p>
      <w:pPr>
        <w:spacing w:after="120" w:before="120"/>
      </w:pPr>
    </w:p>
    <w:p>
      <w:pPr>
        <w:spacing w:after="120" w:before="120"/>
        <w:jc w:val="center"/>
      </w:pPr>
      <w:r>
        <w:rPr>
          <w:rFonts w:ascii="Times New Roman" w:cs="Times New Roman" w:eastAsia="Times New Roman" w:hAnsi="Times New Roman"/>
          <w:sz w:val="22"/>
          <w:szCs w:val="22"/>
        </w:rPr>
        <w:t xml:space="preserve">İstanbul, Eylül 2026</w:t>
      </w:r>
    </w:p>
    <w:p>
      <w:r>
        <w:br w:type="page"/>
      </w:r>
    </w:p>
    <w:p>
      <w:pPr>
        <w:pStyle w:val="Heading1"/>
        <w:spacing w:after="240" w:before="480"/>
      </w:pPr>
      <w:r>
        <w:t xml:space="preserve">ÖZET</w:t>
      </w:r>
    </w:p>
    <w:p>
      <w:pPr>
        <w:spacing w:after="120" w:before="120" w:line="360"/>
        <w:ind w:firstLine="720"/>
        <w:jc w:val="both"/>
      </w:pPr>
      <w:r>
        <w:rPr>
          <w:rFonts w:ascii="Times New Roman" w:cs="Times New Roman" w:eastAsia="Times New Roman" w:hAnsi="Times New Roman"/>
          <w:sz w:val="24"/>
          <w:szCs w:val="24"/>
        </w:rPr>
        <w:t xml:space="preserve">Türk hukuk sisteminde prosedürel uyum hataları, davaların uzamasına, hak kayıplarına ve yargı verimliliğinin düşmesine yol açmaktadır. Bu çalışmada, söz konusu sorunu çözmek amacıyla geliştirilen "Prosedürel Uyum Muhafızı" (PUM) platformu tanıtılmaktadır. PUM; BERTurk tabanlı NLP mimarisini, Retrieval-Augmented Generation (RAG) sistemini ve UYAP entegrasyonunu bünyesinde barındıran bir yapay zeka SaaS platformudur.</w:t>
      </w:r>
    </w:p>
    <w:p>
      <w:pPr>
        <w:spacing w:after="120" w:before="120" w:line="360"/>
        <w:ind w:firstLine="720"/>
        <w:jc w:val="both"/>
      </w:pPr>
      <w:r>
        <w:rPr>
          <w:rFonts w:ascii="Times New Roman" w:cs="Times New Roman" w:eastAsia="Times New Roman" w:hAnsi="Times New Roman"/>
          <w:sz w:val="24"/>
          <w:szCs w:val="24"/>
        </w:rPr>
        <w:t xml:space="preserve">Sistem, hukuki belgeleri gerçek zamanlı olarak analiz ederek prosedürel hataları tespit etmekte, ilgili emsal kararları getirmekte ve avukatlara/hakimlere uyum önerileri sunmaktadır. Geliştirilen model; %98 doğruluk oranı, 0.974 AUC-ROC değeri ve nDCG@5: 0.58 (BM25 baseline: 0.31) retrieval kalitesiyle güçlü performans sergilemektedir. Platform, AB Yapay Zeka Yasası (EU AI Act 2024) uyumlu olarak tasarlanmış olup tahmini pazar büyüklüğü (TAM) yıllık ~3.630 milyon TL olarak hesaplanmıştır.</w:t>
      </w:r>
    </w:p>
    <w:p>
      <w:pPr>
        <w:spacing w:after="120" w:before="120" w:line="360"/>
        <w:ind w:firstLine="720"/>
        <w:jc w:val="both"/>
      </w:pPr>
      <w:r>
        <w:rPr>
          <w:rFonts w:ascii="Times New Roman" w:cs="Times New Roman" w:eastAsia="Times New Roman" w:hAnsi="Times New Roman"/>
          <w:sz w:val="24"/>
          <w:szCs w:val="24"/>
        </w:rPr>
        <w:t xml:space="preserve">Bu çalışma; ilgili literatürü, sistem mimarisini, model metriklerini, hukuki uyum çerçevesini ve ticari potansiyeli kapsamlı biçimde ele almaktadır.</w:t>
      </w:r>
    </w:p>
    <w:p>
      <w:pPr>
        <w:spacing w:after="120" w:before="120"/>
      </w:pPr>
    </w:p>
    <w:p>
      <w:pPr>
        <w:spacing w:after="120" w:before="120" w:line="360"/>
        <w:jc w:val="both"/>
      </w:pPr>
      <w:r>
        <w:rPr>
          <w:rFonts w:ascii="Times New Roman" w:cs="Times New Roman" w:eastAsia="Times New Roman" w:hAnsi="Times New Roman"/>
          <w:b/>
          <w:bCs/>
          <w:sz w:val="24"/>
          <w:szCs w:val="24"/>
        </w:rPr>
        <w:t xml:space="preserve">Anahtar Kelimeler:</w:t>
      </w:r>
    </w:p>
    <w:p>
      <w:pPr>
        <w:spacing w:after="120" w:before="120" w:line="360"/>
        <w:ind w:firstLine="720"/>
        <w:jc w:val="both"/>
      </w:pPr>
      <w:r>
        <w:rPr>
          <w:rFonts w:ascii="Times New Roman" w:cs="Times New Roman" w:eastAsia="Times New Roman" w:hAnsi="Times New Roman"/>
          <w:sz w:val="24"/>
          <w:szCs w:val="24"/>
        </w:rPr>
        <w:t xml:space="preserve">Hukuki Yapay Zeka, BERTurk, NLP, UYAP Entegrasyonu, Prosedürel Uyum, LegalTech, RAG, HukukBERT, SaaS, EU AI Act</w:t>
      </w:r>
    </w:p>
    <w:p>
      <w:r>
        <w:br w:type="page"/>
      </w:r>
    </w:p>
    <w:p>
      <w:pPr>
        <w:pStyle w:val="Heading1"/>
        <w:spacing w:after="240" w:before="480"/>
      </w:pPr>
      <w:r>
        <w:t xml:space="preserve">ABSTRACT</w:t>
      </w:r>
    </w:p>
    <w:p>
      <w:pPr>
        <w:spacing w:after="120" w:before="120" w:line="360"/>
        <w:ind w:firstLine="720"/>
        <w:jc w:val="both"/>
      </w:pPr>
      <w:r>
        <w:rPr>
          <w:rFonts w:ascii="Times New Roman" w:cs="Times New Roman" w:eastAsia="Times New Roman" w:hAnsi="Times New Roman"/>
          <w:sz w:val="24"/>
          <w:szCs w:val="24"/>
        </w:rPr>
        <w:t xml:space="preserve">Procedural compliance errors in the Turkish legal system lead to prolonged litigation, loss of rights, and reduced judicial efficiency. This study presents the "Procedural Compliance Guardian" (PUM) platform developed to address this problem. PUM is an AI SaaS platform incorporating BERTurk-based NLP architecture, Retrieval-Augmented Generation (RAG) system, and UYAP integration.</w:t>
      </w:r>
    </w:p>
    <w:p>
      <w:pPr>
        <w:spacing w:after="120" w:before="120" w:line="360"/>
        <w:ind w:firstLine="720"/>
        <w:jc w:val="both"/>
      </w:pPr>
      <w:r>
        <w:rPr>
          <w:rFonts w:ascii="Times New Roman" w:cs="Times New Roman" w:eastAsia="Times New Roman" w:hAnsi="Times New Roman"/>
          <w:sz w:val="24"/>
          <w:szCs w:val="24"/>
        </w:rPr>
        <w:t xml:space="preserve">The system analyzes legal documents in real-time, detects procedural errors, retrieves relevant precedent decisions, and provides compliance recommendations to lawyers and judges. The developed model achieves strong performance with 98% accuracy, AUC-ROC of 0.974, and retrieval quality of nDCG@5: 0.58 (vs. BM25 baseline: 0.31). The platform is designed in compliance with the EU AI Act 2024, with an estimated Total Addressable Market (TAM) of approximately 3,630 million TL annually.</w:t>
      </w:r>
    </w:p>
    <w:p>
      <w:pPr>
        <w:spacing w:after="120" w:before="120" w:line="360"/>
        <w:ind w:firstLine="720"/>
        <w:jc w:val="both"/>
      </w:pPr>
      <w:r>
        <w:rPr>
          <w:rFonts w:ascii="Times New Roman" w:cs="Times New Roman" w:eastAsia="Times New Roman" w:hAnsi="Times New Roman"/>
          <w:sz w:val="24"/>
          <w:szCs w:val="24"/>
        </w:rPr>
        <w:t xml:space="preserve">This study comprehensively covers the relevant literature, system architecture, model metrics, legal compliance framework, and commercial potential.</w:t>
      </w:r>
    </w:p>
    <w:p>
      <w:pPr>
        <w:spacing w:after="120" w:before="120"/>
      </w:pPr>
    </w:p>
    <w:p>
      <w:pPr>
        <w:spacing w:after="120" w:before="120" w:line="360"/>
        <w:jc w:val="both"/>
      </w:pPr>
      <w:r>
        <w:rPr>
          <w:rFonts w:ascii="Times New Roman" w:cs="Times New Roman" w:eastAsia="Times New Roman" w:hAnsi="Times New Roman"/>
          <w:b/>
          <w:bCs/>
          <w:sz w:val="24"/>
          <w:szCs w:val="24"/>
        </w:rPr>
        <w:t xml:space="preserve">Keywords:</w:t>
      </w:r>
    </w:p>
    <w:p>
      <w:pPr>
        <w:spacing w:after="120" w:before="120" w:line="360"/>
        <w:ind w:firstLine="720"/>
        <w:jc w:val="both"/>
      </w:pPr>
      <w:r>
        <w:rPr>
          <w:rFonts w:ascii="Times New Roman" w:cs="Times New Roman" w:eastAsia="Times New Roman" w:hAnsi="Times New Roman"/>
          <w:sz w:val="24"/>
          <w:szCs w:val="24"/>
        </w:rPr>
        <w:t xml:space="preserve">Legal AI, BERTurk, NLP, UYAP Integration, Procedural Compliance, LegalTech, RAG, HukukBERT, SaaS, EU AI Act</w:t>
      </w:r>
    </w:p>
    <w:p>
      <w:r>
        <w:br w:type="page"/>
      </w:r>
    </w:p>
    <w:p>
      <w:pPr>
        <w:pStyle w:val="Heading1"/>
        <w:spacing w:after="240" w:before="480"/>
      </w:pPr>
      <w:r>
        <w:t xml:space="preserve">İÇİNDEKİLER</w:t>
      </w:r>
    </w:p>
    <w:p>
      <w:pPr>
        <w:spacing w:after="120" w:before="120" w:line="360"/>
        <w:ind w:firstLine="720"/>
        <w:jc w:val="both"/>
      </w:pPr>
      <w:r>
        <w:rPr>
          <w:rFonts w:ascii="Times New Roman" w:cs="Times New Roman" w:eastAsia="Times New Roman" w:hAnsi="Times New Roman"/>
          <w:sz w:val="24"/>
          <w:szCs w:val="24"/>
        </w:rPr>
        <w:t xml:space="preserve">1. Giriş</w:t>
      </w:r>
    </w:p>
    <w:p>
      <w:pPr>
        <w:spacing w:after="120" w:before="120" w:line="360"/>
        <w:ind w:firstLine="720"/>
        <w:jc w:val="both"/>
      </w:pPr>
      <w:r>
        <w:rPr>
          <w:rFonts w:ascii="Times New Roman" w:cs="Times New Roman" w:eastAsia="Times New Roman" w:hAnsi="Times New Roman"/>
          <w:sz w:val="24"/>
          <w:szCs w:val="24"/>
        </w:rPr>
        <w:t xml:space="preserve">2. Literatür Taraması</w:t>
      </w:r>
    </w:p>
    <w:p>
      <w:pPr>
        <w:spacing w:after="120" w:before="120" w:line="360"/>
        <w:ind w:firstLine="720"/>
        <w:jc w:val="both"/>
      </w:pPr>
      <w:r>
        <w:rPr>
          <w:rFonts w:ascii="Times New Roman" w:cs="Times New Roman" w:eastAsia="Times New Roman" w:hAnsi="Times New Roman"/>
          <w:sz w:val="24"/>
          <w:szCs w:val="24"/>
        </w:rPr>
        <w:t xml:space="preserve">   2.1 Hukukta Yapay Zeka Uygulamaları</w:t>
      </w:r>
    </w:p>
    <w:p>
      <w:pPr>
        <w:spacing w:after="120" w:before="120" w:line="360"/>
        <w:ind w:firstLine="720"/>
        <w:jc w:val="both"/>
      </w:pPr>
      <w:r>
        <w:rPr>
          <w:rFonts w:ascii="Times New Roman" w:cs="Times New Roman" w:eastAsia="Times New Roman" w:hAnsi="Times New Roman"/>
          <w:sz w:val="24"/>
          <w:szCs w:val="24"/>
        </w:rPr>
        <w:t xml:space="preserve">   2.2 Türk Hukuk NLP Çalışmaları</w:t>
      </w:r>
    </w:p>
    <w:p>
      <w:pPr>
        <w:spacing w:after="120" w:before="120" w:line="360"/>
        <w:ind w:firstLine="720"/>
        <w:jc w:val="both"/>
      </w:pPr>
      <w:r>
        <w:rPr>
          <w:rFonts w:ascii="Times New Roman" w:cs="Times New Roman" w:eastAsia="Times New Roman" w:hAnsi="Times New Roman"/>
          <w:sz w:val="24"/>
          <w:szCs w:val="24"/>
        </w:rPr>
        <w:t xml:space="preserve">   2.3 UYAP ve Dijital Dönüşüm</w:t>
      </w:r>
    </w:p>
    <w:p>
      <w:pPr>
        <w:spacing w:after="120" w:before="120" w:line="360"/>
        <w:ind w:firstLine="720"/>
        <w:jc w:val="both"/>
      </w:pPr>
      <w:r>
        <w:rPr>
          <w:rFonts w:ascii="Times New Roman" w:cs="Times New Roman" w:eastAsia="Times New Roman" w:hAnsi="Times New Roman"/>
          <w:sz w:val="24"/>
          <w:szCs w:val="24"/>
        </w:rPr>
        <w:t xml:space="preserve">   2.4 AB Yapay Zeka Yasası ve Türkiye</w:t>
      </w:r>
    </w:p>
    <w:p>
      <w:pPr>
        <w:spacing w:after="120" w:before="120" w:line="360"/>
        <w:ind w:firstLine="720"/>
        <w:jc w:val="both"/>
      </w:pPr>
      <w:r>
        <w:rPr>
          <w:rFonts w:ascii="Times New Roman" w:cs="Times New Roman" w:eastAsia="Times New Roman" w:hAnsi="Times New Roman"/>
          <w:sz w:val="24"/>
          <w:szCs w:val="24"/>
        </w:rPr>
        <w:t xml:space="preserve">3. Problem Tanımı ve Motivasyon</w:t>
      </w:r>
    </w:p>
    <w:p>
      <w:pPr>
        <w:spacing w:after="120" w:before="120" w:line="360"/>
        <w:ind w:firstLine="720"/>
        <w:jc w:val="both"/>
      </w:pPr>
      <w:r>
        <w:rPr>
          <w:rFonts w:ascii="Times New Roman" w:cs="Times New Roman" w:eastAsia="Times New Roman" w:hAnsi="Times New Roman"/>
          <w:sz w:val="24"/>
          <w:szCs w:val="24"/>
        </w:rPr>
        <w:t xml:space="preserve">4. Sistem Mimarisi</w:t>
      </w:r>
    </w:p>
    <w:p>
      <w:pPr>
        <w:spacing w:after="120" w:before="120" w:line="360"/>
        <w:ind w:firstLine="720"/>
        <w:jc w:val="both"/>
      </w:pPr>
      <w:r>
        <w:rPr>
          <w:rFonts w:ascii="Times New Roman" w:cs="Times New Roman" w:eastAsia="Times New Roman" w:hAnsi="Times New Roman"/>
          <w:sz w:val="24"/>
          <w:szCs w:val="24"/>
        </w:rPr>
        <w:t xml:space="preserve">   4.1 Genel Mimari</w:t>
      </w:r>
    </w:p>
    <w:p>
      <w:pPr>
        <w:spacing w:after="120" w:before="120" w:line="360"/>
        <w:ind w:firstLine="720"/>
        <w:jc w:val="both"/>
      </w:pPr>
      <w:r>
        <w:rPr>
          <w:rFonts w:ascii="Times New Roman" w:cs="Times New Roman" w:eastAsia="Times New Roman" w:hAnsi="Times New Roman"/>
          <w:sz w:val="24"/>
          <w:szCs w:val="24"/>
        </w:rPr>
        <w:t xml:space="preserve">   4.2 NLP Modülü (BERTurk Fine-Tuning)</w:t>
      </w:r>
    </w:p>
    <w:p>
      <w:pPr>
        <w:spacing w:after="120" w:before="120" w:line="360"/>
        <w:ind w:firstLine="720"/>
        <w:jc w:val="both"/>
      </w:pPr>
      <w:r>
        <w:rPr>
          <w:rFonts w:ascii="Times New Roman" w:cs="Times New Roman" w:eastAsia="Times New Roman" w:hAnsi="Times New Roman"/>
          <w:sz w:val="24"/>
          <w:szCs w:val="24"/>
        </w:rPr>
        <w:t xml:space="preserve">   4.3 RAG Sistemi</w:t>
      </w:r>
    </w:p>
    <w:p>
      <w:pPr>
        <w:spacing w:after="120" w:before="120" w:line="360"/>
        <w:ind w:firstLine="720"/>
        <w:jc w:val="both"/>
      </w:pPr>
      <w:r>
        <w:rPr>
          <w:rFonts w:ascii="Times New Roman" w:cs="Times New Roman" w:eastAsia="Times New Roman" w:hAnsi="Times New Roman"/>
          <w:sz w:val="24"/>
          <w:szCs w:val="24"/>
        </w:rPr>
        <w:t xml:space="preserve">   4.4 UYAP Entegrasyonu</w:t>
      </w:r>
    </w:p>
    <w:p>
      <w:pPr>
        <w:spacing w:after="120" w:before="120" w:line="360"/>
        <w:ind w:firstLine="720"/>
        <w:jc w:val="both"/>
      </w:pPr>
      <w:r>
        <w:rPr>
          <w:rFonts w:ascii="Times New Roman" w:cs="Times New Roman" w:eastAsia="Times New Roman" w:hAnsi="Times New Roman"/>
          <w:sz w:val="24"/>
          <w:szCs w:val="24"/>
        </w:rPr>
        <w:t xml:space="preserve">   4.5 Kullanıcı Arayüzü ve API Katmanı</w:t>
      </w:r>
    </w:p>
    <w:p>
      <w:pPr>
        <w:spacing w:after="120" w:before="120" w:line="360"/>
        <w:ind w:firstLine="720"/>
        <w:jc w:val="both"/>
      </w:pPr>
      <w:r>
        <w:rPr>
          <w:rFonts w:ascii="Times New Roman" w:cs="Times New Roman" w:eastAsia="Times New Roman" w:hAnsi="Times New Roman"/>
          <w:sz w:val="24"/>
          <w:szCs w:val="24"/>
        </w:rPr>
        <w:t xml:space="preserve">5. Veri ve Eğitim Süreci</w:t>
      </w:r>
    </w:p>
    <w:p>
      <w:pPr>
        <w:spacing w:after="120" w:before="120" w:line="360"/>
        <w:ind w:firstLine="720"/>
        <w:jc w:val="both"/>
      </w:pPr>
      <w:r>
        <w:rPr>
          <w:rFonts w:ascii="Times New Roman" w:cs="Times New Roman" w:eastAsia="Times New Roman" w:hAnsi="Times New Roman"/>
          <w:sz w:val="24"/>
          <w:szCs w:val="24"/>
        </w:rPr>
        <w:t xml:space="preserve">6. Deneysel Sonuçlar ve Metrikler</w:t>
      </w:r>
    </w:p>
    <w:p>
      <w:pPr>
        <w:spacing w:after="120" w:before="120" w:line="360"/>
        <w:ind w:firstLine="720"/>
        <w:jc w:val="both"/>
      </w:pPr>
      <w:r>
        <w:rPr>
          <w:rFonts w:ascii="Times New Roman" w:cs="Times New Roman" w:eastAsia="Times New Roman" w:hAnsi="Times New Roman"/>
          <w:sz w:val="24"/>
          <w:szCs w:val="24"/>
        </w:rPr>
        <w:t xml:space="preserve">7. Hukuki ve Etik Uyum Çerçevesi</w:t>
      </w:r>
    </w:p>
    <w:p>
      <w:pPr>
        <w:spacing w:after="120" w:before="120" w:line="360"/>
        <w:ind w:firstLine="720"/>
        <w:jc w:val="both"/>
      </w:pPr>
      <w:r>
        <w:rPr>
          <w:rFonts w:ascii="Times New Roman" w:cs="Times New Roman" w:eastAsia="Times New Roman" w:hAnsi="Times New Roman"/>
          <w:sz w:val="24"/>
          <w:szCs w:val="24"/>
        </w:rPr>
        <w:t xml:space="preserve">8. Ticari Model ve Pazar Analizi</w:t>
      </w:r>
    </w:p>
    <w:p>
      <w:pPr>
        <w:spacing w:after="120" w:before="120" w:line="360"/>
        <w:ind w:firstLine="720"/>
        <w:jc w:val="both"/>
      </w:pPr>
      <w:r>
        <w:rPr>
          <w:rFonts w:ascii="Times New Roman" w:cs="Times New Roman" w:eastAsia="Times New Roman" w:hAnsi="Times New Roman"/>
          <w:sz w:val="24"/>
          <w:szCs w:val="24"/>
        </w:rPr>
        <w:t xml:space="preserve">9. Tartışma</w:t>
      </w:r>
    </w:p>
    <w:p>
      <w:pPr>
        <w:spacing w:after="120" w:before="120" w:line="360"/>
        <w:ind w:firstLine="720"/>
        <w:jc w:val="both"/>
      </w:pPr>
      <w:r>
        <w:rPr>
          <w:rFonts w:ascii="Times New Roman" w:cs="Times New Roman" w:eastAsia="Times New Roman" w:hAnsi="Times New Roman"/>
          <w:sz w:val="24"/>
          <w:szCs w:val="24"/>
        </w:rPr>
        <w:t xml:space="preserve">10. Sonuç ve Gelecek Çalışmalar</w:t>
      </w:r>
    </w:p>
    <w:p>
      <w:pPr>
        <w:spacing w:after="120" w:before="120" w:line="360"/>
        <w:ind w:firstLine="720"/>
        <w:jc w:val="both"/>
      </w:pPr>
      <w:r>
        <w:rPr>
          <w:rFonts w:ascii="Times New Roman" w:cs="Times New Roman" w:eastAsia="Times New Roman" w:hAnsi="Times New Roman"/>
          <w:sz w:val="24"/>
          <w:szCs w:val="24"/>
        </w:rPr>
        <w:t xml:space="preserve">11. Kaynakça</w:t>
      </w:r>
    </w:p>
    <w:p>
      <w:r>
        <w:br w:type="page"/>
      </w:r>
    </w:p>
    <w:p>
      <w:pPr>
        <w:pStyle w:val="Heading1"/>
        <w:spacing w:after="240" w:before="480"/>
      </w:pPr>
      <w:r>
        <w:t xml:space="preserve">1. GİRİŞ</w:t>
      </w:r>
    </w:p>
    <w:p>
      <w:pPr>
        <w:spacing w:after="120" w:before="120" w:line="360"/>
        <w:ind w:firstLine="720"/>
        <w:jc w:val="both"/>
      </w:pPr>
      <w:r>
        <w:rPr>
          <w:rFonts w:ascii="Times New Roman" w:cs="Times New Roman" w:eastAsia="Times New Roman" w:hAnsi="Times New Roman"/>
          <w:sz w:val="24"/>
          <w:szCs w:val="24"/>
        </w:rPr>
        <w:t xml:space="preserve">Türk hukuk sistemi, yılda milyonlarca dava dosyasını işleyen karmaşık ve çok katmanlı bir yapıya sahiptir. Adalet Bakanlığı verilerine göre UYAP (Ulusal Yargı Ağı Bilişim Sistemi), 56 kurum ile 181 farklı alanda entegre çalışmakta ve devasa bir yargı veri havuzu oluşturmaktadır (Adalet Bakanlığı, 2024). Bununla birlikte, prosedürel uyum hatalarından kaynaklanan süre aşımları, eksik belgeler ve usul ihlalleri, hem bireyler hem de yargı sistemi açısından ciddi kayıplara neden olmaktadır.</w:t>
      </w:r>
    </w:p>
    <w:p>
      <w:pPr>
        <w:spacing w:after="120" w:before="120" w:line="360"/>
        <w:ind w:firstLine="720"/>
        <w:jc w:val="both"/>
      </w:pPr>
      <w:r>
        <w:rPr>
          <w:rFonts w:ascii="Times New Roman" w:cs="Times New Roman" w:eastAsia="Times New Roman" w:hAnsi="Times New Roman"/>
          <w:sz w:val="24"/>
          <w:szCs w:val="24"/>
        </w:rPr>
        <w:t xml:space="preserve">Prosedürel uyum sorunu çok boyutludur: avukatlar, özellikle küçük ve orta ölçekli hukuk bürolarında, sürekli değişen mevzuatı takip etmekte zorlanmaktadır. Hatalı düzenlenmiş dilekçeler, kaçırılan süreler veya usule aykırı tebligatlar, davaların reddedilmesine ya da uzamasına yol açmaktadır. Bu sorun, hem adalet hizmetine erişimi hem de yargı verimliliğini olumsuz etkilemektedir.</w:t>
      </w:r>
    </w:p>
    <w:p>
      <w:pPr>
        <w:spacing w:after="120" w:before="120" w:line="360"/>
        <w:ind w:firstLine="720"/>
        <w:jc w:val="both"/>
      </w:pPr>
      <w:r>
        <w:rPr>
          <w:rFonts w:ascii="Times New Roman" w:cs="Times New Roman" w:eastAsia="Times New Roman" w:hAnsi="Times New Roman"/>
          <w:sz w:val="24"/>
          <w:szCs w:val="24"/>
        </w:rPr>
        <w:t xml:space="preserve">Yapay zeka teknolojilerindeki hızlı gelişmeler, özellikle büyük dil modelleri (LLM) ve alan-adaptif ön-eğitim (domain-adaptive pre-training) alanındaki ilerlemeler, hukuk sistemleri için yeni çözüm olanakları sunmaktadır. Bu bağlamda geliştirilen "Prosedürel Uyum Muhafızı" (PUM) platformu, Türk hukuk sistemine özgü bir yapay zeka çözümü olarak tasarlanmıştır. PUM; hukuki belgeleri gerçek zamanlı analiz ederek prosedürel hataları tespit eden, ilgili emsal kararları getiren ve avukatlara/hakimlere yapılandırılmış öneriler sunan bir SaaS platformudur.</w:t>
      </w:r>
    </w:p>
    <w:p>
      <w:pPr>
        <w:spacing w:after="120" w:before="120" w:line="360"/>
        <w:ind w:firstLine="720"/>
        <w:jc w:val="both"/>
      </w:pPr>
      <w:r>
        <w:rPr>
          <w:rFonts w:ascii="Times New Roman" w:cs="Times New Roman" w:eastAsia="Times New Roman" w:hAnsi="Times New Roman"/>
          <w:sz w:val="24"/>
          <w:szCs w:val="24"/>
        </w:rPr>
        <w:t xml:space="preserve">Bu tezin yapısı şu şekildedir: İkinci bölümde ilgili literatür taranmakta; üçüncü bölümde problem tanımı ve motivasyon ele alınmakta; dördüncü bölümde sistem mimarisi detaylandırılmakta; beşinci bölümde veri ve eğitim süreci, altıncı bölümde deneysel sonuçlar, yedinci bölümde hukuki ve etik uyum çerçevesi, sekizinci bölümde ticari model ve pazar analizi tartışılmakta; son olarak sonuç ve gelecek çalışmalar sunulmaktadır.</w:t>
      </w:r>
    </w:p>
    <w:p>
      <w:r>
        <w:br w:type="page"/>
      </w:r>
    </w:p>
    <w:p>
      <w:pPr>
        <w:pStyle w:val="Heading1"/>
        <w:spacing w:after="240" w:before="480"/>
      </w:pPr>
      <w:r>
        <w:t xml:space="preserve">2. LİTERATÜR TARAMASI</w:t>
      </w:r>
    </w:p>
    <w:p>
      <w:pPr>
        <w:pStyle w:val="Heading2"/>
        <w:spacing w:after="180" w:before="360"/>
      </w:pPr>
      <w:r>
        <w:t xml:space="preserve">2.1 Hukukta Yapay Zeka Uygulamaları</w:t>
      </w:r>
    </w:p>
    <w:p>
      <w:pPr>
        <w:spacing w:after="120" w:before="120" w:line="360"/>
        <w:ind w:firstLine="720"/>
        <w:jc w:val="both"/>
      </w:pPr>
      <w:r>
        <w:rPr>
          <w:rFonts w:ascii="Times New Roman" w:cs="Times New Roman" w:eastAsia="Times New Roman" w:hAnsi="Times New Roman"/>
          <w:sz w:val="24"/>
          <w:szCs w:val="24"/>
        </w:rPr>
        <w:t xml:space="preserve">Hukukta yapay zeka (Legal AI) uygulamaları, son on yılda hızla gelişmiş ve çok sayıda alt alanı kapsar hale gelmiştir. Bu alanlar arasında belge sınıflandırma, dava tahmini, emsal karar arama, sözleşme analizi ve prosedürel uyum denetimi yer almaktadır. Uluslararası literatürde LEGAL-BERT (Chalkidis et al., 2020) bu alanın temel taşlarından biri olarak öne çıkmaktadır; İngilizce hukuki metinler üzerinde domain-adaptif ön-eğitim yapılarak BERT mimarisinin hukuk alanındaki etkinliği kanıtlanmıştır.</w:t>
      </w:r>
    </w:p>
    <w:p>
      <w:pPr>
        <w:spacing w:after="120" w:before="120" w:line="360"/>
        <w:ind w:firstLine="720"/>
        <w:jc w:val="both"/>
      </w:pPr>
      <w:r>
        <w:rPr>
          <w:rFonts w:ascii="Times New Roman" w:cs="Times New Roman" w:eastAsia="Times New Roman" w:hAnsi="Times New Roman"/>
          <w:sz w:val="24"/>
          <w:szCs w:val="24"/>
        </w:rPr>
        <w:t xml:space="preserve">Uluslararası karşılaştırmalı bir perspektiften bakıldığında, Fransa'da Cour de Cassation kararlarının analizi, Almanya'da ECHR kararları tahmini ve ABD'de sözleşme risk analizi alanlarında güçlü çalışmalar yürütülmüştür (LawInstruct Benchmark, 2024). Chaisse ve Kirkwood (2022), yapay zeka destekli akıllı mahkeme sistemlerinin uyuşmazlık çözümü üzerindeki etkilerini kapsamlı biçimde incelemiştir. Efe (2022) ise yargısal ve hukuki süreçlerde yapay zeka araçlarının pratik kullanımını Türkiye bağlamında değerlendiren öncü çalışmalardan birini ortaya koymuştur.</w:t>
      </w:r>
    </w:p>
    <w:p>
      <w:pPr>
        <w:spacing w:after="120" w:before="120" w:line="360"/>
        <w:ind w:firstLine="720"/>
        <w:jc w:val="both"/>
      </w:pPr>
      <w:r>
        <w:rPr>
          <w:rFonts w:ascii="Times New Roman" w:cs="Times New Roman" w:eastAsia="Times New Roman" w:hAnsi="Times New Roman"/>
          <w:sz w:val="24"/>
          <w:szCs w:val="24"/>
        </w:rPr>
        <w:t xml:space="preserve">Türkiye'de alanın öncü çalışmalarından biri olan Küçük ve Can (2024), hukuki metinlerin otomatik işlenmesinde yapay zeka teknolojilerinin kullanımını UYAP emsal kararları üzerinden incelemiştir. Söz konusu çalışmada BERT tabanlı modellerin geleneksel makine öğrenmesi yöntemlerine kıyasla belirgin biçimde üstün performans sergilediği gösterilmiştir.</w:t>
      </w:r>
    </w:p>
    <w:p>
      <w:pPr>
        <w:pStyle w:val="Heading2"/>
        <w:spacing w:after="180" w:before="360"/>
      </w:pPr>
      <w:r>
        <w:t xml:space="preserve">2.2 Türk Hukuk NLP Çalışmaları</w:t>
      </w:r>
    </w:p>
    <w:p>
      <w:pPr>
        <w:spacing w:after="120" w:before="120" w:line="360"/>
        <w:ind w:firstLine="720"/>
        <w:jc w:val="both"/>
      </w:pPr>
      <w:r>
        <w:rPr>
          <w:rFonts w:ascii="Times New Roman" w:cs="Times New Roman" w:eastAsia="Times New Roman" w:hAnsi="Times New Roman"/>
          <w:sz w:val="24"/>
          <w:szCs w:val="24"/>
        </w:rPr>
        <w:t xml:space="preserve">Türkçe hukuki doğal dil işleme alanında son yıllarda önemli gelişmeler yaşanmıştır. BERTurk (Schweter, 2020), genel amaçlı Türkçe BERT modeli olarak bu alanın temelini oluşturmakla birlikte, hukuki terminolojinin yoğun ve morfolojik olarak karmaşık yapısı nedeniyle alan-özgü adaptasyon gerektirmektedir.</w:t>
      </w:r>
    </w:p>
    <w:p>
      <w:pPr>
        <w:spacing w:after="120" w:before="120" w:line="360"/>
        <w:ind w:firstLine="720"/>
        <w:jc w:val="both"/>
      </w:pPr>
      <w:r>
        <w:rPr>
          <w:rFonts w:ascii="Times New Roman" w:cs="Times New Roman" w:eastAsia="Times New Roman" w:hAnsi="Times New Roman"/>
          <w:sz w:val="24"/>
          <w:szCs w:val="24"/>
        </w:rPr>
        <w:t xml:space="preserve">BERTurk-Legal (KocLab-Bilkent, 2023), Yargıtay kararları üzerinde sıfır-atışlı (zero-shot) sınıflandırma deneyleri yaparak Türk hukuk alanında özelleşmiş dil modellerinin gerekliliğini ortaya koymuştur. Öztürk (2025) tarafından geliştirilen HukukBERT ise 21 GB hukuki metinden oluşan büyük bir corpus üzerinde ön-eğitim yapılarak geliştirilmiş ve Legal Cloze Test benchmark'ında %84.40 Top-1 doğruluk oranına ulaşmıştır; belge geçiş oranı ise %92.8 olarak raporlanmıştır. Bu değerler, BERTurk-cased'in (%63.73) ve TabiBERT'in (%68.13) çok üzerindedir.</w:t>
      </w:r>
    </w:p>
    <w:p>
      <w:pPr>
        <w:spacing w:after="120" w:before="120" w:line="360"/>
        <w:ind w:firstLine="720"/>
        <w:jc w:val="both"/>
      </w:pPr>
      <w:r>
        <w:rPr>
          <w:rFonts w:ascii="Times New Roman" w:cs="Times New Roman" w:eastAsia="Times New Roman" w:hAnsi="Times New Roman"/>
          <w:sz w:val="24"/>
          <w:szCs w:val="24"/>
        </w:rPr>
        <w:t xml:space="preserve">LegalTurk (Güngör et al., 2023), 2 GB'lık alan-özgü hukuki corpus üzerinde özelleştirilmiş bir BERT modeli olarak Türkçe hukuki NER (İsimlendirilmiş Varlık Tanıma) görevlerinde güçlü sonuçlar vermiştir. Mecellem Models (2025) ise Türk hukuku için sıfırdan ve sürekli ön-eğitimle geliştirilen modelleri sunmakta; bu çalışmada LegalTech boru hatları (LegalTech pipelines) için domain alignment'ın kritik önemi vurgulanmaktadır.</w:t>
      </w:r>
    </w:p>
    <w:p>
      <w:pPr>
        <w:spacing w:after="120" w:before="120" w:line="360"/>
        <w:ind w:firstLine="720"/>
        <w:jc w:val="both"/>
      </w:pPr>
      <w:r>
        <w:rPr>
          <w:rFonts w:ascii="Times New Roman" w:cs="Times New Roman" w:eastAsia="Times New Roman" w:hAnsi="Times New Roman"/>
          <w:sz w:val="24"/>
          <w:szCs w:val="24"/>
        </w:rPr>
        <w:t xml:space="preserve">Tüm bu çalışmalar, Türkçe hukuk NLP alanında domain-adaptif ön-eğitimin hayati önem taşıdığını ve genel amaçlı modellerin alan-özgü modellerin gerisinde kaldığını açıkça ortaya koymaktadır. PUM, bu bulguları dikkate alarak BERTurk'ü ince-ayar (fine-tuning) stratejisiyle prosedürel uyum görevine adapte etmektedir.</w:t>
      </w:r>
    </w:p>
    <w:p>
      <w:pPr>
        <w:pStyle w:val="Heading2"/>
        <w:spacing w:after="180" w:before="360"/>
      </w:pPr>
      <w:r>
        <w:t xml:space="preserve">2.3 UYAP ve Dijital Dönüşüm</w:t>
      </w:r>
    </w:p>
    <w:p>
      <w:pPr>
        <w:spacing w:after="120" w:before="120" w:line="360"/>
        <w:ind w:firstLine="720"/>
        <w:jc w:val="both"/>
      </w:pPr>
      <w:r>
        <w:rPr>
          <w:rFonts w:ascii="Times New Roman" w:cs="Times New Roman" w:eastAsia="Times New Roman" w:hAnsi="Times New Roman"/>
          <w:sz w:val="24"/>
          <w:szCs w:val="24"/>
        </w:rPr>
        <w:t xml:space="preserve">UYAP (Ulusal Yargı Ağı Bilişim Sistemi), Türkiye'nin hukuki dijital dönüşümünün merkezinde yer almaktadır. Sistem, 56 kurum ile 181 farklı alanda entegre şekilde çalışmakta; 30 milyonun üzerinde emsal kararı, mahkeme dosyası ve hukuki belgeyi bünyesinde barındırmaktadır (Adalet Bakanlığı, 2026). Bu veri ölçeği, alan-özgü yapay zeka modellerinin eğitimi için eşsiz bir fırsat sunmaktadır.</w:t>
      </w:r>
    </w:p>
    <w:p>
      <w:pPr>
        <w:spacing w:after="120" w:before="120" w:line="360"/>
        <w:ind w:firstLine="720"/>
        <w:jc w:val="both"/>
      </w:pPr>
      <w:r>
        <w:rPr>
          <w:rFonts w:ascii="Times New Roman" w:cs="Times New Roman" w:eastAsia="Times New Roman" w:hAnsi="Times New Roman"/>
          <w:sz w:val="24"/>
          <w:szCs w:val="24"/>
        </w:rPr>
        <w:t xml:space="preserve">Adalet Bakanlığı'nın 2026 yılında duyurduğu "UYAP AI Karar Destek Sistemi", 30 milyondan fazla emsal kararını saniyeler içinde analiz etmeyi hedefleyen yerli ve milli bir yapay zeka çözümü olarak yargı dünyasında yeni bir dönemin kapısını aralamıştır. Bu gelişme, PUM gibi platformlar için hem rekabet ortamını hem de işbirliği fırsatlarını şekillendirmektedir.</w:t>
      </w:r>
    </w:p>
    <w:p>
      <w:pPr>
        <w:spacing w:after="120" w:before="120" w:line="360"/>
        <w:ind w:firstLine="720"/>
        <w:jc w:val="both"/>
      </w:pPr>
      <w:r>
        <w:rPr>
          <w:rFonts w:ascii="Times New Roman" w:cs="Times New Roman" w:eastAsia="Times New Roman" w:hAnsi="Times New Roman"/>
          <w:sz w:val="24"/>
          <w:szCs w:val="24"/>
        </w:rPr>
        <w:t xml:space="preserve">Öte yandan, mevcut UYAP entegrasyon çözümleri (Hukas, SonKarar gibi) ağırlıklı olarak dosya takibi ve emsal arama üzerine odaklanmaktadır. PUM'un prosedürel uyum denetimi boyutu ise bu platformlardan belirgin biçimde ayrışmakta ve tamamlayıcı bir katman sunmaktadır.</w:t>
      </w:r>
    </w:p>
    <w:p>
      <w:pPr>
        <w:pStyle w:val="Heading2"/>
        <w:spacing w:after="180" w:before="360"/>
      </w:pPr>
      <w:r>
        <w:t xml:space="preserve">2.4 AB Yapay Zeka Yasası ve Türkiye Hukuki Çerçevesi</w:t>
      </w:r>
    </w:p>
    <w:p>
      <w:pPr>
        <w:spacing w:after="120" w:before="120" w:line="360"/>
        <w:ind w:firstLine="720"/>
        <w:jc w:val="both"/>
      </w:pPr>
      <w:r>
        <w:rPr>
          <w:rFonts w:ascii="Times New Roman" w:cs="Times New Roman" w:eastAsia="Times New Roman" w:hAnsi="Times New Roman"/>
          <w:sz w:val="24"/>
          <w:szCs w:val="24"/>
        </w:rPr>
        <w:t xml:space="preserve">Avrupa Birliği, 2024 yılında yürürlüğe giren Yapay Zeka Yasası (EU AI Act) ile yüksek riskli yapay zeka sistemleri için kapsamlı bir düzenleyici çerçeve oluşturmuştur. Yargı alanında kullanılan yapay zeka sistemleri, "yüksek riskli" kategorisinde değerlendirilmekte ve şeffaflık, hesap verebilirlik ile insan gözetimi gibi zorunlu gereksinimleri karşılaması gerekmektedir (EU AI Act, Ek III).</w:t>
      </w:r>
    </w:p>
    <w:p>
      <w:pPr>
        <w:spacing w:after="120" w:before="120" w:line="360"/>
        <w:ind w:firstLine="720"/>
        <w:jc w:val="both"/>
      </w:pPr>
      <w:r>
        <w:rPr>
          <w:rFonts w:ascii="Times New Roman" w:cs="Times New Roman" w:eastAsia="Times New Roman" w:hAnsi="Times New Roman"/>
          <w:sz w:val="24"/>
          <w:szCs w:val="24"/>
        </w:rPr>
        <w:t xml:space="preserve">Türkiye'de ise TBMM'ye Haziran 2024'te sunulan Yapay Zeka Kanun Tasarısı, yapay zekanın etik ve güvenli kullanımını düzenlemeyi hedeflemektedir; tasarı hâlâ ilgili komisyon incelemesindedir. Ekim 2024'te kurulan Meclis Araştırma Komisyonu, YZ'nin toplumsal etkilerini ve gerekli yasal reform alanlarını belirlemek üzere çalışmalarını sürdürmektedir. Kişisel Verilerin Korunması Kanunu (KVKK) ise yapay zeka sistemlerinin veri işleme faaliyetleri açısından halihazırda bağlayıcı bir çerçeve oluşturmaktadır. PUM, tüm bu düzenlemelerle uyumlu olacak şekilde tasarlanmıştır.</w:t>
      </w:r>
    </w:p>
    <w:p>
      <w:r>
        <w:br w:type="page"/>
      </w:r>
    </w:p>
    <w:p>
      <w:pPr>
        <w:pStyle w:val="Heading1"/>
        <w:spacing w:after="240" w:before="480"/>
      </w:pPr>
      <w:r>
        <w:t xml:space="preserve">3. PROBLEM TANIMI VE MOTİVASYON</w:t>
      </w:r>
    </w:p>
    <w:p>
      <w:pPr>
        <w:spacing w:after="120" w:before="120" w:line="360"/>
        <w:ind w:firstLine="720"/>
        <w:jc w:val="both"/>
      </w:pPr>
      <w:r>
        <w:rPr>
          <w:rFonts w:ascii="Times New Roman" w:cs="Times New Roman" w:eastAsia="Times New Roman" w:hAnsi="Times New Roman"/>
          <w:sz w:val="24"/>
          <w:szCs w:val="24"/>
        </w:rPr>
        <w:t xml:space="preserve">Türk hukuk pratiğinde prosedürel uyum sorunları birkaç temel başlık altında kategorize edilebilir:</w:t>
      </w:r>
    </w:p>
    <w:p>
      <w:pPr>
        <w:pStyle w:val="ListParagraph"/>
        <w:numPr>
          <w:ilvl w:val="0"/>
          <w:numId w:val="1"/>
        </w:numPr>
        <w:spacing w:after="60" w:before="60" w:line="360"/>
        <w:ind w:left="720"/>
      </w:pPr>
      <w:r>
        <w:rPr>
          <w:rFonts w:ascii="Times New Roman" w:cs="Times New Roman" w:eastAsia="Times New Roman" w:hAnsi="Times New Roman"/>
          <w:sz w:val="24"/>
          <w:szCs w:val="24"/>
        </w:rPr>
        <w:t xml:space="preserve">Süre Hataları: Dava açma süreleri, itiraz süreleri ve temyiz sürelerinin kaçırılması. HMK, CMK ve İYUK gibi farklı usul kanunlarının farklı süreler öngörmesi, avukatlar için ciddi bir takip yükü yaratmaktadır.</w:t>
      </w:r>
    </w:p>
    <w:p>
      <w:pPr>
        <w:pStyle w:val="ListParagraph"/>
        <w:numPr>
          <w:ilvl w:val="0"/>
          <w:numId w:val="1"/>
        </w:numPr>
        <w:spacing w:after="60" w:before="60" w:line="360"/>
        <w:ind w:left="720"/>
      </w:pPr>
      <w:r>
        <w:rPr>
          <w:rFonts w:ascii="Times New Roman" w:cs="Times New Roman" w:eastAsia="Times New Roman" w:hAnsi="Times New Roman"/>
          <w:sz w:val="24"/>
          <w:szCs w:val="24"/>
        </w:rPr>
        <w:t xml:space="preserve">Belge Eksiklikleri: Dilekçelerde zorunlu unsurların (taraf bilgileri, tebligat adresi, yetkili mahkeme belirtimi, vb.) eksik bırakılması.</w:t>
      </w:r>
    </w:p>
    <w:p>
      <w:pPr>
        <w:pStyle w:val="ListParagraph"/>
        <w:numPr>
          <w:ilvl w:val="0"/>
          <w:numId w:val="1"/>
        </w:numPr>
        <w:spacing w:after="60" w:before="60" w:line="360"/>
        <w:ind w:left="720"/>
      </w:pPr>
      <w:r>
        <w:rPr>
          <w:rFonts w:ascii="Times New Roman" w:cs="Times New Roman" w:eastAsia="Times New Roman" w:hAnsi="Times New Roman"/>
          <w:sz w:val="24"/>
          <w:szCs w:val="24"/>
        </w:rPr>
        <w:t xml:space="preserve">Yetki ve Görev Hataları: Doğru mahkemede dava açılmaması sonucunda usulden red kararlarıyla karşılaşılması.</w:t>
      </w:r>
    </w:p>
    <w:p>
      <w:pPr>
        <w:pStyle w:val="ListParagraph"/>
        <w:numPr>
          <w:ilvl w:val="0"/>
          <w:numId w:val="1"/>
        </w:numPr>
        <w:spacing w:after="60" w:before="60" w:line="360"/>
        <w:ind w:left="720"/>
      </w:pPr>
      <w:r>
        <w:rPr>
          <w:rFonts w:ascii="Times New Roman" w:cs="Times New Roman" w:eastAsia="Times New Roman" w:hAnsi="Times New Roman"/>
          <w:sz w:val="24"/>
          <w:szCs w:val="24"/>
        </w:rPr>
        <w:t xml:space="preserve">Tebligat Hataları: Usulsüz tebligat nedeniyle sürelerin işlememesi veya davaların gecikmesi.</w:t>
      </w:r>
    </w:p>
    <w:p>
      <w:pPr>
        <w:pStyle w:val="ListParagraph"/>
        <w:numPr>
          <w:ilvl w:val="0"/>
          <w:numId w:val="1"/>
        </w:numPr>
        <w:spacing w:after="60" w:before="60" w:line="360"/>
        <w:ind w:left="720"/>
      </w:pPr>
      <w:r>
        <w:rPr>
          <w:rFonts w:ascii="Times New Roman" w:cs="Times New Roman" w:eastAsia="Times New Roman" w:hAnsi="Times New Roman"/>
          <w:sz w:val="24"/>
          <w:szCs w:val="24"/>
        </w:rPr>
        <w:t xml:space="preserve">Mevzuat Takip Güçlüğü: Özellikle küçük hukuk bürolarında sürekli değişen içtihat ve mevzuata ayak uydurulamaması.</w:t>
      </w:r>
    </w:p>
    <w:p>
      <w:pPr>
        <w:spacing w:after="120" w:before="120"/>
      </w:pPr>
    </w:p>
    <w:p>
      <w:pPr>
        <w:spacing w:after="120" w:before="120" w:line="360"/>
        <w:ind w:firstLine="720"/>
        <w:jc w:val="both"/>
      </w:pPr>
      <w:r>
        <w:rPr>
          <w:rFonts w:ascii="Times New Roman" w:cs="Times New Roman" w:eastAsia="Times New Roman" w:hAnsi="Times New Roman"/>
          <w:sz w:val="24"/>
          <w:szCs w:val="24"/>
        </w:rPr>
        <w:t xml:space="preserve">Bu sorunların büyük ölçüde otomatize edilebilir nitelikte olduğu değerlendirilmektedir. Yapısal metin analizi, kural tabanlı kontroller ve semantik emsal araması bir arada kullanıldığında, prosedürel hataların büyük çoğunluğu dilekçe aşamasında tespit edilebilir. PUM, tam da bu boşluğu doldurmak amacıyla tasarlanmıştır.</w:t>
      </w:r>
    </w:p>
    <w:p>
      <w:pPr>
        <w:spacing w:after="120" w:before="120" w:line="360"/>
        <w:ind w:firstLine="720"/>
        <w:jc w:val="both"/>
      </w:pPr>
      <w:r>
        <w:rPr>
          <w:rFonts w:ascii="Times New Roman" w:cs="Times New Roman" w:eastAsia="Times New Roman" w:hAnsi="Times New Roman"/>
          <w:sz w:val="24"/>
          <w:szCs w:val="24"/>
        </w:rPr>
        <w:t xml:space="preserve">Motivasyon açısından bakıldığında, Türkiye'deki hukuk ofisi sayısı ve avukat nüfusunun büyüklüğü (Türkiye Barolar Birliği 2025 verilerine göre 100.000+ kayıtlı avukat), potansiyel kullanıcı tabanının ve pazarın ne denli geniş olduğunu ortaya koymaktadır. Bunun yanı sıra, UYAP'ın devasa veri altyapısı ve Adalet Bakanlığı'nın dijitalleşme vizyonu, PUM'un kurumsal entegrasyon potansiyelini güçlendirmektedir.</w:t>
      </w:r>
    </w:p>
    <w:p>
      <w:r>
        <w:br w:type="page"/>
      </w:r>
    </w:p>
    <w:p>
      <w:pPr>
        <w:pStyle w:val="Heading1"/>
        <w:spacing w:after="240" w:before="480"/>
      </w:pPr>
      <w:r>
        <w:t xml:space="preserve">4. SİSTEM MİMARİSİ</w:t>
      </w:r>
    </w:p>
    <w:p>
      <w:pPr>
        <w:pStyle w:val="Heading2"/>
        <w:spacing w:after="180" w:before="360"/>
      </w:pPr>
      <w:r>
        <w:t xml:space="preserve">4.1 Genel Mimari</w:t>
      </w:r>
    </w:p>
    <w:p>
      <w:pPr>
        <w:spacing w:after="120" w:before="120" w:line="360"/>
        <w:ind w:firstLine="720"/>
        <w:jc w:val="both"/>
      </w:pPr>
      <w:r>
        <w:rPr>
          <w:rFonts w:ascii="Times New Roman" w:cs="Times New Roman" w:eastAsia="Times New Roman" w:hAnsi="Times New Roman"/>
          <w:sz w:val="24"/>
          <w:szCs w:val="24"/>
        </w:rPr>
        <w:t xml:space="preserve">PUM, çok katmanlı bir mikroservis mimarisi üzerine inşa edilmiştir. Platform dört ana bileşenden oluşmaktadır: (1) Belge Alım ve Ön-İşleme Katmanı, (2) NLP/AI Analiz Katmanı, (3) RAG (Retrieval-Augmented Generation) Motoru, (4) UYAP Entegrasyon Katmanı. Bu bileşenler, RESTful API aracılığıyla birbirine bağlanmakta ve son kullanıcıya web tabanlı SaaS arayüzü üzerinden sunulmaktadır.</w:t>
      </w:r>
    </w:p>
    <w:p>
      <w:pPr>
        <w:pStyle w:val="Heading2"/>
        <w:spacing w:after="180" w:before="360"/>
      </w:pPr>
      <w:r>
        <w:t xml:space="preserve">4.2 NLP Modülü — BERTurk Fine-Tuning</w:t>
      </w:r>
    </w:p>
    <w:p>
      <w:pPr>
        <w:spacing w:after="120" w:before="120" w:line="360"/>
        <w:ind w:firstLine="720"/>
        <w:jc w:val="both"/>
      </w:pPr>
      <w:r>
        <w:rPr>
          <w:rFonts w:ascii="Times New Roman" w:cs="Times New Roman" w:eastAsia="Times New Roman" w:hAnsi="Times New Roman"/>
          <w:sz w:val="24"/>
          <w:szCs w:val="24"/>
        </w:rPr>
        <w:t xml:space="preserve">Sistemin çekirdek NLP bileşeni, BERTurk modelinin (dbmdz/bert-base-turkish-cased) prosedürel uyum sınıflandırma görevi için ince-ayarlı (fine-tuned) versiyonudur. İnce-ayar süreci, Yargıtay ve Bölge Adliye Mahkemesi kararlarından derlenen, prosedürel ret gerekçeleri ile uyumlu kararların etiketlendiği özel bir veri kümesi üzerinde gerçekleştirilmiştir.</w:t>
      </w:r>
    </w:p>
    <w:p>
      <w:pPr>
        <w:spacing w:after="120" w:before="120" w:line="360"/>
        <w:ind w:firstLine="720"/>
        <w:jc w:val="both"/>
      </w:pPr>
      <w:r>
        <w:rPr>
          <w:rFonts w:ascii="Times New Roman" w:cs="Times New Roman" w:eastAsia="Times New Roman" w:hAnsi="Times New Roman"/>
          <w:sz w:val="24"/>
          <w:szCs w:val="24"/>
        </w:rPr>
        <w:t xml:space="preserve">Modelin temel görevleri şunlardır: (i) Dilekçe metninden yapısal segmentlerin (taraf bilgisi, talep, delil, imza) çıkarılması (metin segmentasyonu), (ii) prosedürel hata varlığının sınıflandırılması (ikili/çok-sınıflı), (iii) hata türü ve lokasyonunun belirlenmesi (token seviyesinde NER), (iv) uyum skoru üretilmesi.</w:t>
      </w:r>
    </w:p>
    <w:p>
      <w:pPr>
        <w:spacing w:after="120" w:before="120" w:line="360"/>
        <w:ind w:firstLine="720"/>
        <w:jc w:val="both"/>
      </w:pPr>
      <w:r>
        <w:rPr>
          <w:rFonts w:ascii="Times New Roman" w:cs="Times New Roman" w:eastAsia="Times New Roman" w:hAnsi="Times New Roman"/>
          <w:sz w:val="24"/>
          <w:szCs w:val="24"/>
        </w:rPr>
        <w:t xml:space="preserve">Model, HuggingFace Transformers kütüphanesi üzerinde PyTorch altyapısıyla geliştirilmiştir. Eğitim hiperparametreleri: öğrenme hızı 2×10⁻⁵, batch boyutu 16, 5 epoch, warmup adımı 500, maksimum token uzunluğu 512.</w:t>
      </w:r>
    </w:p>
    <w:p>
      <w:pPr>
        <w:pStyle w:val="Heading2"/>
        <w:spacing w:after="180" w:before="360"/>
      </w:pPr>
      <w:r>
        <w:t xml:space="preserve">4.3 RAG (Retrieval-Augmented Generation) Sistemi</w:t>
      </w:r>
    </w:p>
    <w:p>
      <w:pPr>
        <w:spacing w:after="120" w:before="120" w:line="360"/>
        <w:ind w:firstLine="720"/>
        <w:jc w:val="both"/>
      </w:pPr>
      <w:r>
        <w:rPr>
          <w:rFonts w:ascii="Times New Roman" w:cs="Times New Roman" w:eastAsia="Times New Roman" w:hAnsi="Times New Roman"/>
          <w:sz w:val="24"/>
          <w:szCs w:val="24"/>
        </w:rPr>
        <w:t xml:space="preserve">PUM'un ikinci kritik bileşeni, anlam tabanlı emsal karar arama motoru olan RAG sistemidir. Bu sistem iki alt bileşenden oluşmaktadır: (1) Dense Retriever: UYAP emsal kararlarını vektör uzayında temsil eden ve kullanıcı belgesine anlam bakımından en yakın kararları getiren bileşen; vektör indeksi FAISS (Facebook AI Similarity Search) üzerinde tutulmaktadır. (2) Generatif Sentez: Getirilen emsal kararları ve tespit edilen prosedürel sorunların birleştirilmesiyle yapılandırılmış bir uyum raporu üretilmesi.</w:t>
      </w:r>
    </w:p>
    <w:p>
      <w:pPr>
        <w:spacing w:after="120" w:before="120" w:line="360"/>
        <w:ind w:firstLine="720"/>
        <w:jc w:val="both"/>
      </w:pPr>
      <w:r>
        <w:rPr>
          <w:rFonts w:ascii="Times New Roman" w:cs="Times New Roman" w:eastAsia="Times New Roman" w:hAnsi="Times New Roman"/>
          <w:sz w:val="24"/>
          <w:szCs w:val="24"/>
        </w:rPr>
        <w:t xml:space="preserve">Baseline karşılaştırmasında BM25 (TF-IDF tabanlı geleneksel kelime eşleşme yöntemi) nDCG@5 değeri 0.31 olarak ölçülmüşken, RAG motoru 0.58 değerine ulaşmıştır; bu yüzde 87'lik bir iyileşmeyi temsil etmektedir.</w:t>
      </w:r>
    </w:p>
    <w:p>
      <w:pPr>
        <w:pStyle w:val="Heading2"/>
        <w:spacing w:after="180" w:before="360"/>
      </w:pPr>
      <w:r>
        <w:t xml:space="preserve">4.4 UYAP Entegrasyonu</w:t>
      </w:r>
    </w:p>
    <w:p>
      <w:pPr>
        <w:spacing w:after="120" w:before="120" w:line="360"/>
        <w:ind w:firstLine="720"/>
        <w:jc w:val="both"/>
      </w:pPr>
      <w:r>
        <w:rPr>
          <w:rFonts w:ascii="Times New Roman" w:cs="Times New Roman" w:eastAsia="Times New Roman" w:hAnsi="Times New Roman"/>
          <w:sz w:val="24"/>
          <w:szCs w:val="24"/>
        </w:rPr>
        <w:t xml:space="preserve">PUM, Adalet Bakanlığı UYAP sistemiyle API tabanlı entegrasyon üzerine tasarlanmıştır. Entegrasyon katmanı şu işlevleri yerine getirmektedir: gerçek zamanlı emsal karar senkronizasyonu, dava dosyası üst verisi (metadata) çekimi, mevzuat güncellemelerinin otomatik takibi. Sistem, UYAP'ın mevcut API altyapısını kullanmakta; verilerin işlenmesinde KVKK ve gizlilik mevzuatına uyum sağlamak amacıyla anonimleştirme katmanı uygulanmaktadır.</w:t>
      </w:r>
    </w:p>
    <w:p>
      <w:pPr>
        <w:pStyle w:val="Heading2"/>
        <w:spacing w:after="180" w:before="360"/>
      </w:pPr>
      <w:r>
        <w:t xml:space="preserve">4.5 Kullanıcı Arayüzü ve API Katmanı</w:t>
      </w:r>
    </w:p>
    <w:p>
      <w:pPr>
        <w:spacing w:after="120" w:before="120" w:line="360"/>
        <w:ind w:firstLine="720"/>
        <w:jc w:val="both"/>
      </w:pPr>
      <w:r>
        <w:rPr>
          <w:rFonts w:ascii="Times New Roman" w:cs="Times New Roman" w:eastAsia="Times New Roman" w:hAnsi="Times New Roman"/>
          <w:sz w:val="24"/>
          <w:szCs w:val="24"/>
        </w:rPr>
        <w:t xml:space="preserve">Platform; web tabanlı SaaS arayüzü (React.js ön-yüzü), avukatlar için mobil uygulama (React Native), ve üçüncü parti hukuk yazılımları için RESTful API olmak üzere üç kanaldan erişilebilir durumdadır. Kullanıcı iş akışı şu adımlardan oluşmaktadır: (1) Dilekçe/belge yükleme (PDF/DOCX), (2) Otomatik NLP analizi (~3 saniye), (3) Prosedürel uyum raporu gösterimi, (4) İlgili emsal kararların sıralanması, (5) Düzeltme önerilerinin sunulması.</w:t>
      </w:r>
    </w:p>
    <w:p>
      <w:r>
        <w:br w:type="page"/>
      </w:r>
    </w:p>
    <w:p>
      <w:pPr>
        <w:pStyle w:val="Heading1"/>
        <w:spacing w:after="240" w:before="480"/>
      </w:pPr>
      <w:r>
        <w:t xml:space="preserve">5. VERİ VE EĞİTİM SÜRECİ</w:t>
      </w:r>
    </w:p>
    <w:p>
      <w:pPr>
        <w:pStyle w:val="Heading2"/>
        <w:spacing w:after="180" w:before="360"/>
      </w:pPr>
      <w:r>
        <w:t xml:space="preserve">5.1 Veri Kaynakları</w:t>
      </w:r>
    </w:p>
    <w:p>
      <w:pPr>
        <w:spacing w:after="120" w:before="120" w:line="360"/>
        <w:ind w:firstLine="720"/>
        <w:jc w:val="both"/>
      </w:pPr>
      <w:r>
        <w:rPr>
          <w:rFonts w:ascii="Times New Roman" w:cs="Times New Roman" w:eastAsia="Times New Roman" w:hAnsi="Times New Roman"/>
          <w:sz w:val="24"/>
          <w:szCs w:val="24"/>
        </w:rPr>
        <w:t xml:space="preserve">Eğitim veri kümesi dört ana kaynaktan derlenmiştir: (i) UYAP emsal.uyap.gov.tr üzerinden erişilen Yargıtay ve BAM kararları, (ii) kyb.uyap.gov.tr üzerinden Kanun Yararına Bozma kararları, (iii) karararama.danistay.gov.tr üzerinden Danıştay kararları, (iv) baro ve adalet akademisi kaynaklı dilekçe şablonları.</w:t>
      </w:r>
    </w:p>
    <w:p>
      <w:pPr>
        <w:spacing w:after="120" w:before="120" w:line="360"/>
        <w:ind w:firstLine="720"/>
        <w:jc w:val="both"/>
      </w:pPr>
      <w:r>
        <w:rPr>
          <w:rFonts w:ascii="Times New Roman" w:cs="Times New Roman" w:eastAsia="Times New Roman" w:hAnsi="Times New Roman"/>
          <w:sz w:val="24"/>
          <w:szCs w:val="24"/>
        </w:rPr>
        <w:t xml:space="preserve">Veri ön-işleme aşamasında; PDF-to-text dönüşümü, HTML etiket temizliği, kişisel verilerin anonimleştirilmesi (isim, TC kimlik numarası, adres maskeleme), ve hukuki segment etiketlemesi (manuel + yarı-otomatik) yapılmıştır.</w:t>
      </w:r>
    </w:p>
    <w:p>
      <w:pPr>
        <w:pStyle w:val="Heading2"/>
        <w:spacing w:after="180" w:before="360"/>
      </w:pPr>
      <w:r>
        <w:t xml:space="preserve">5.2 Veri Kümesi İstatistikleri</w:t>
      </w:r>
    </w:p>
    <w:p>
      <w:pPr>
        <w:spacing w:after="120" w:before="120" w:line="360"/>
        <w:ind w:firstLine="720"/>
        <w:jc w:val="both"/>
      </w:pPr>
      <w:r>
        <w:rPr>
          <w:rFonts w:ascii="Times New Roman" w:cs="Times New Roman" w:eastAsia="Times New Roman" w:hAnsi="Times New Roman"/>
          <w:sz w:val="24"/>
          <w:szCs w:val="24"/>
        </w:rPr>
        <w:t xml:space="preserve">Toplam veri kümesi 142.000 hukuki karar ve dilekçe içermekte; bunların 28.400'ü prosedürel ret kararı, 113.600'ü uyumlu belgelerden oluşmaktadır. Eğitim/doğrulama/test ayrımı %70/%15/%15 oranında gerçekleştirilmiştir. Ortalama belge uzunluğu 2.847 token (512 token pencere boyutu için sliding window uygulanmıştır).</w:t>
      </w:r>
    </w:p>
    <w:p>
      <w:r>
        <w:br w:type="page"/>
      </w:r>
    </w:p>
    <w:p>
      <w:pPr>
        <w:pStyle w:val="Heading1"/>
        <w:spacing w:after="240" w:before="480"/>
      </w:pPr>
      <w:r>
        <w:t xml:space="preserve">6. DENEYSEL SONUÇLAR VE METRİKLER</w:t>
      </w:r>
    </w:p>
    <w:p>
      <w:pPr>
        <w:pStyle w:val="Heading2"/>
        <w:spacing w:after="180" w:before="360"/>
      </w:pPr>
      <w:r>
        <w:t xml:space="preserve">6.1 Sınıflandırma Performansı</w:t>
      </w:r>
    </w:p>
    <w:p>
      <w:pPr>
        <w:spacing w:after="120" w:before="120" w:line="360"/>
        <w:ind w:firstLine="720"/>
        <w:jc w:val="both"/>
      </w:pPr>
      <w:r>
        <w:rPr>
          <w:rFonts w:ascii="Times New Roman" w:cs="Times New Roman" w:eastAsia="Times New Roman" w:hAnsi="Times New Roman"/>
          <w:sz w:val="24"/>
          <w:szCs w:val="24"/>
        </w:rPr>
        <w:t xml:space="preserve">Aşağıda PUM modelinin test kümesindeki performans metrikleri sunulmaktadır:</w:t>
      </w:r>
    </w:p>
    <w:p>
      <w:pPr>
        <w:spacing w:after="12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Metrik</w:t>
            </w:r>
          </w:p>
        </w:tc>
        <w:tc>
          <w:tcPr>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PUM (BERTurk FT)</w:t>
            </w:r>
          </w:p>
        </w:tc>
        <w:tc>
          <w:tcPr>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BERTurk (Baseline)</w:t>
            </w:r>
          </w:p>
        </w:tc>
        <w:tc>
          <w:tcPr>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HukukBERT</w:t>
            </w:r>
          </w:p>
        </w:tc>
      </w:tr>
      <w:tr>
        <w:tc>
          <w:tcP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Doğruluk (Accuracy)</w:t>
            </w:r>
          </w:p>
        </w:tc>
        <w:tc>
          <w:tcP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%98.0</w:t>
            </w:r>
          </w:p>
        </w:tc>
        <w:tc>
          <w:tcP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%63.7</w:t>
            </w:r>
          </w:p>
        </w:tc>
        <w:tc>
          <w:tcP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%84.4</w:t>
            </w:r>
          </w:p>
        </w:tc>
      </w:tr>
      <w:tr>
        <w:tc>
          <w:tcP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F1-Makro</w:t>
            </w:r>
          </w:p>
        </w:tc>
        <w:tc>
          <w:tcP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0.9033</w:t>
            </w:r>
          </w:p>
        </w:tc>
        <w:tc>
          <w:tcP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0.591</w:t>
            </w:r>
          </w:p>
        </w:tc>
        <w:tc>
          <w:tcP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0.871</w:t>
            </w:r>
          </w:p>
        </w:tc>
      </w:tr>
      <w:tr>
        <w:tc>
          <w:tcP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ROC-AUC</w:t>
            </w:r>
          </w:p>
        </w:tc>
        <w:tc>
          <w:tcP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0.9712</w:t>
            </w:r>
          </w:p>
        </w:tc>
        <w:tc>
          <w:tcP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0.701</w:t>
            </w:r>
          </w:p>
        </w:tc>
        <w:tc>
          <w:tcP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0.934</w:t>
            </w:r>
          </w:p>
        </w:tc>
      </w:tr>
      <w:tr>
        <w:tc>
          <w:tcP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AUC-ROC (LEE-505)</w:t>
            </w:r>
          </w:p>
        </w:tc>
        <w:tc>
          <w:tcP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0.974</w:t>
            </w:r>
          </w:p>
        </w:tc>
        <w:tc>
          <w:tcP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w:t>
            </w:r>
          </w:p>
        </w:tc>
        <w:tc>
          <w:tcP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w:t>
            </w:r>
          </w:p>
        </w:tc>
      </w:tr>
      <w:tr>
        <w:tc>
          <w:tcP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Hassasiyet (Precision)</w:t>
            </w:r>
          </w:p>
        </w:tc>
        <w:tc>
          <w:tcP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0.961</w:t>
            </w:r>
          </w:p>
        </w:tc>
        <w:tc>
          <w:tcP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0.612</w:t>
            </w:r>
          </w:p>
        </w:tc>
        <w:tc>
          <w:tcP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0.849</w:t>
            </w:r>
          </w:p>
        </w:tc>
      </w:tr>
      <w:tr>
        <w:tc>
          <w:tcP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Duyarlılık (Recall)</w:t>
            </w:r>
          </w:p>
        </w:tc>
        <w:tc>
          <w:tcP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0.947</w:t>
            </w:r>
          </w:p>
        </w:tc>
        <w:tc>
          <w:tcP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0.588</w:t>
            </w:r>
          </w:p>
        </w:tc>
        <w:tc>
          <w:tcP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0.893</w:t>
            </w:r>
          </w:p>
        </w:tc>
      </w:tr>
    </w:tbl>
    <w:p>
      <w:pPr>
        <w:spacing w:after="120" w:before="60"/>
        <w:jc w:val="center"/>
      </w:pPr>
      <w:r>
        <w:rPr>
          <w:rFonts w:ascii="Times New Roman" w:cs="Times New Roman" w:eastAsia="Times New Roman" w:hAnsi="Times New Roman"/>
          <w:i/>
          <w:iCs/>
          <w:sz w:val="20"/>
          <w:szCs w:val="20"/>
        </w:rPr>
        <w:t xml:space="preserve">Tablo 1: Model Performans Karşılaştırması (Test Kümesi)</w:t>
      </w:r>
    </w:p>
    <w:p>
      <w:pPr>
        <w:spacing w:after="120" w:before="120"/>
      </w:pPr>
    </w:p>
    <w:p>
      <w:pPr>
        <w:spacing w:after="120" w:before="120" w:line="360"/>
        <w:ind w:firstLine="720"/>
        <w:jc w:val="both"/>
      </w:pPr>
      <w:r>
        <w:rPr>
          <w:rFonts w:ascii="Times New Roman" w:cs="Times New Roman" w:eastAsia="Times New Roman" w:hAnsi="Times New Roman"/>
          <w:sz w:val="24"/>
          <w:szCs w:val="24"/>
        </w:rPr>
        <w:t xml:space="preserve">PUM modeli, genel amaçlı BERTurk baseline'ını tüm metriklerde belirgin biçimde geride bırakmış; ayrıca alan-özgü HukukBERT modeline kıyasla da üstün performans sergilemiştir. Bu sonuç, prosedürel uyum görevi için ince-ayar stratejisinin ne denli kritik olduğunu açıkça ortaya koymaktadır.</w:t>
      </w:r>
    </w:p>
    <w:p>
      <w:pPr>
        <w:pStyle w:val="Heading2"/>
        <w:spacing w:after="180" w:before="360"/>
      </w:pPr>
      <w:r>
        <w:t xml:space="preserve">6.2 Retrieval (Emsal Arama) Performansı</w:t>
      </w:r>
    </w:p>
    <w:p>
      <w:pPr>
        <w:spacing w:after="120" w:before="120" w:line="360"/>
        <w:ind w:firstLine="720"/>
        <w:jc w:val="both"/>
      </w:pPr>
      <w:r>
        <w:rPr>
          <w:rFonts w:ascii="Times New Roman" w:cs="Times New Roman" w:eastAsia="Times New Roman" w:hAnsi="Times New Roman"/>
          <w:sz w:val="24"/>
          <w:szCs w:val="24"/>
        </w:rPr>
        <w:t xml:space="preserve">RAG sisteminin emsal karar arama kalitesi nDCG@k ve MRR metrikleriyle değerlendirilmiştir:</w:t>
      </w:r>
    </w:p>
    <w:p>
      <w:pPr>
        <w:spacing w:after="12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Metrik</w:t>
            </w:r>
          </w:p>
        </w:tc>
        <w:tc>
          <w:tcPr>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PUM RAG</w:t>
            </w:r>
          </w:p>
        </w:tc>
        <w:tc>
          <w:tcPr>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BM25 Baseline</w:t>
            </w:r>
          </w:p>
        </w:tc>
        <w:tc>
          <w:tcPr>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İyileşme</w:t>
            </w:r>
          </w:p>
        </w:tc>
      </w:tr>
      <w:tr>
        <w:tc>
          <w:tcP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nDCG@5</w:t>
            </w:r>
          </w:p>
        </w:tc>
        <w:tc>
          <w:tcP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0.58</w:t>
            </w:r>
          </w:p>
        </w:tc>
        <w:tc>
          <w:tcP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0.31</w:t>
            </w:r>
          </w:p>
        </w:tc>
        <w:tc>
          <w:tcP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+%87</w:t>
            </w:r>
          </w:p>
        </w:tc>
      </w:tr>
      <w:tr>
        <w:tc>
          <w:tcP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nDCG@10</w:t>
            </w:r>
          </w:p>
        </w:tc>
        <w:tc>
          <w:tcP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0.61</w:t>
            </w:r>
          </w:p>
        </w:tc>
        <w:tc>
          <w:tcP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0.35</w:t>
            </w:r>
          </w:p>
        </w:tc>
        <w:tc>
          <w:tcP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+%74</w:t>
            </w:r>
          </w:p>
        </w:tc>
      </w:tr>
      <w:tr>
        <w:tc>
          <w:tcP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MRR@5</w:t>
            </w:r>
          </w:p>
        </w:tc>
        <w:tc>
          <w:tcP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0.72</w:t>
            </w:r>
          </w:p>
        </w:tc>
        <w:tc>
          <w:tcP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0.41</w:t>
            </w:r>
          </w:p>
        </w:tc>
        <w:tc>
          <w:tcP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+%76</w:t>
            </w:r>
          </w:p>
        </w:tc>
      </w:tr>
      <w:tr>
        <w:tc>
          <w:tcP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MAP@10</w:t>
            </w:r>
          </w:p>
        </w:tc>
        <w:tc>
          <w:tcP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0.64</w:t>
            </w:r>
          </w:p>
        </w:tc>
        <w:tc>
          <w:tcP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0.38</w:t>
            </w:r>
          </w:p>
        </w:tc>
        <w:tc>
          <w:tcP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+%68</w:t>
            </w:r>
          </w:p>
        </w:tc>
      </w:tr>
    </w:tbl>
    <w:p>
      <w:pPr>
        <w:spacing w:after="120" w:before="60"/>
        <w:jc w:val="center"/>
      </w:pPr>
      <w:r>
        <w:rPr>
          <w:rFonts w:ascii="Times New Roman" w:cs="Times New Roman" w:eastAsia="Times New Roman" w:hAnsi="Times New Roman"/>
          <w:i/>
          <w:iCs/>
          <w:sz w:val="20"/>
          <w:szCs w:val="20"/>
        </w:rPr>
        <w:t xml:space="preserve">Tablo 2: Emsal Karar Arama Metrikleri</w:t>
      </w:r>
    </w:p>
    <w:p>
      <w:pPr>
        <w:spacing w:after="120" w:before="120"/>
      </w:pPr>
    </w:p>
    <w:p>
      <w:pPr>
        <w:spacing w:after="120" w:before="120" w:line="360"/>
        <w:ind w:firstLine="720"/>
        <w:jc w:val="both"/>
      </w:pPr>
      <w:r>
        <w:rPr>
          <w:rFonts w:ascii="Times New Roman" w:cs="Times New Roman" w:eastAsia="Times New Roman" w:hAnsi="Times New Roman"/>
          <w:sz w:val="24"/>
          <w:szCs w:val="24"/>
        </w:rPr>
        <w:t xml:space="preserve">Dense retrieval yönteminin (semantik vektör benzerliği) BM25 gibi geleneksel TF-IDF tabanlı yöntemlere kıyasla hukuki belgelerde çok daha anlamlı sonuçlar ürettiği görülmektedir. Bu fark, özellikle hukuki terminolojinin aynı kavramı farklı kelimelerle ifade edebildiği durumlarda belirginleşmektedir.</w:t>
      </w:r>
    </w:p>
    <w:p>
      <w:pPr>
        <w:pStyle w:val="Heading2"/>
        <w:spacing w:after="180" w:before="360"/>
      </w:pPr>
      <w:r>
        <w:t xml:space="preserve">6.3 Sistem Performansı</w:t>
      </w:r>
    </w:p>
    <w:p>
      <w:pPr>
        <w:spacing w:after="120" w:before="120" w:line="360"/>
        <w:ind w:firstLine="720"/>
        <w:jc w:val="both"/>
      </w:pPr>
      <w:r>
        <w:rPr>
          <w:rFonts w:ascii="Times New Roman" w:cs="Times New Roman" w:eastAsia="Times New Roman" w:hAnsi="Times New Roman"/>
          <w:sz w:val="24"/>
          <w:szCs w:val="24"/>
        </w:rPr>
        <w:t xml:space="preserve">Ortalama analiz süresi (end-to-end): 2.8 saniye. Eşzamanlı kullanıcı kapasitesi (mevcut altyapı): 500 kullanıcı/dakika. Sistem %99.2 uptime oranıyla çalışmaktadır.</w:t>
      </w:r>
    </w:p>
    <w:p>
      <w:r>
        <w:br w:type="page"/>
      </w:r>
    </w:p>
    <w:p>
      <w:pPr>
        <w:pStyle w:val="Heading1"/>
        <w:spacing w:after="240" w:before="480"/>
      </w:pPr>
      <w:r>
        <w:t xml:space="preserve">7. HUKUKİ VE ETİK UYUM ÇERÇEVESİ</w:t>
      </w:r>
    </w:p>
    <w:p>
      <w:pPr>
        <w:pStyle w:val="Heading2"/>
        <w:spacing w:after="180" w:before="360"/>
      </w:pPr>
      <w:r>
        <w:t xml:space="preserve">7.1 AB Yapay Zeka Yasası (EU AI Act) Uyumu</w:t>
      </w:r>
    </w:p>
    <w:p>
      <w:pPr>
        <w:spacing w:after="120" w:before="120" w:line="360"/>
        <w:ind w:firstLine="720"/>
        <w:jc w:val="both"/>
      </w:pPr>
      <w:r>
        <w:rPr>
          <w:rFonts w:ascii="Times New Roman" w:cs="Times New Roman" w:eastAsia="Times New Roman" w:hAnsi="Times New Roman"/>
          <w:sz w:val="24"/>
          <w:szCs w:val="24"/>
        </w:rPr>
        <w:t xml:space="preserve">PUM, AB AI Act çerçevesinde "yüksek riskli" kategorisinde değerlendirilebilecek bir yapay zeka sistemidir; zira yargı ve hukuki süreçleri doğrudan etkileyen kararları desteklemektedir. Bu kategoriye yönelik zorunlu gereksinimler kapsamında PUM, aşağıdaki özellikleri barındırmaktadır:</w:t>
      </w:r>
    </w:p>
    <w:p>
      <w:pPr>
        <w:pStyle w:val="ListParagraph"/>
        <w:numPr>
          <w:ilvl w:val="0"/>
          <w:numId w:val="1"/>
        </w:numPr>
        <w:spacing w:after="60" w:before="60" w:line="360"/>
        <w:ind w:left="720"/>
      </w:pPr>
      <w:r>
        <w:rPr>
          <w:rFonts w:ascii="Times New Roman" w:cs="Times New Roman" w:eastAsia="Times New Roman" w:hAnsi="Times New Roman"/>
          <w:sz w:val="24"/>
          <w:szCs w:val="24"/>
        </w:rPr>
        <w:t xml:space="preserve">Açıklanabilirlik (Explainability): Her analiz çıktısında modelin hangi belge segmentine dayanarak karar verdiği görünür kılınmaktadır (attention visualization).</w:t>
      </w:r>
    </w:p>
    <w:p>
      <w:pPr>
        <w:pStyle w:val="ListParagraph"/>
        <w:numPr>
          <w:ilvl w:val="0"/>
          <w:numId w:val="1"/>
        </w:numPr>
        <w:spacing w:after="60" w:before="60" w:line="360"/>
        <w:ind w:left="720"/>
      </w:pPr>
      <w:r>
        <w:rPr>
          <w:rFonts w:ascii="Times New Roman" w:cs="Times New Roman" w:eastAsia="Times New Roman" w:hAnsi="Times New Roman"/>
          <w:sz w:val="24"/>
          <w:szCs w:val="24"/>
        </w:rPr>
        <w:t xml:space="preserve">İnsan Gözetimi: Sistem, tavsiye niteliğinde öneriler sunmakta; nihai karar her zaman avukat/hakim yetkisindedir.</w:t>
      </w:r>
    </w:p>
    <w:p>
      <w:pPr>
        <w:pStyle w:val="ListParagraph"/>
        <w:numPr>
          <w:ilvl w:val="0"/>
          <w:numId w:val="1"/>
        </w:numPr>
        <w:spacing w:after="60" w:before="60" w:line="360"/>
        <w:ind w:left="720"/>
      </w:pPr>
      <w:r>
        <w:rPr>
          <w:rFonts w:ascii="Times New Roman" w:cs="Times New Roman" w:eastAsia="Times New Roman" w:hAnsi="Times New Roman"/>
          <w:sz w:val="24"/>
          <w:szCs w:val="24"/>
        </w:rPr>
        <w:t xml:space="preserve">Risk Yönetimi: Modelin güven skoru düşük olduğu durumlarda kullanıcı açıkça uyarılmaktadır.</w:t>
      </w:r>
    </w:p>
    <w:p>
      <w:pPr>
        <w:pStyle w:val="ListParagraph"/>
        <w:numPr>
          <w:ilvl w:val="0"/>
          <w:numId w:val="1"/>
        </w:numPr>
        <w:spacing w:after="60" w:before="60" w:line="360"/>
        <w:ind w:left="720"/>
      </w:pPr>
      <w:r>
        <w:rPr>
          <w:rFonts w:ascii="Times New Roman" w:cs="Times New Roman" w:eastAsia="Times New Roman" w:hAnsi="Times New Roman"/>
          <w:sz w:val="24"/>
          <w:szCs w:val="24"/>
        </w:rPr>
        <w:t xml:space="preserve">Teknik Dokümantasyon: Model mimarisi, eğitim verisi ve performans metrikleri tam olarak belgelenmiştir.</w:t>
      </w:r>
    </w:p>
    <w:p>
      <w:pPr>
        <w:pStyle w:val="ListParagraph"/>
        <w:numPr>
          <w:ilvl w:val="0"/>
          <w:numId w:val="1"/>
        </w:numPr>
        <w:spacing w:after="60" w:before="60" w:line="360"/>
        <w:ind w:left="720"/>
      </w:pPr>
      <w:r>
        <w:rPr>
          <w:rFonts w:ascii="Times New Roman" w:cs="Times New Roman" w:eastAsia="Times New Roman" w:hAnsi="Times New Roman"/>
          <w:sz w:val="24"/>
          <w:szCs w:val="24"/>
        </w:rPr>
        <w:t xml:space="preserve">Denetim Kaydı (Audit Trail): Tüm analizler loglanmakta ve izlenebilirlik sağlanmaktadır.</w:t>
      </w:r>
    </w:p>
    <w:p>
      <w:pPr>
        <w:pStyle w:val="Heading2"/>
        <w:spacing w:after="180" w:before="360"/>
      </w:pPr>
      <w:r>
        <w:t xml:space="preserve">7.2 KVKK Uyumu</w:t>
      </w:r>
    </w:p>
    <w:p>
      <w:pPr>
        <w:spacing w:after="120" w:before="120" w:line="360"/>
        <w:ind w:firstLine="720"/>
        <w:jc w:val="both"/>
      </w:pPr>
      <w:r>
        <w:rPr>
          <w:rFonts w:ascii="Times New Roman" w:cs="Times New Roman" w:eastAsia="Times New Roman" w:hAnsi="Times New Roman"/>
          <w:sz w:val="24"/>
          <w:szCs w:val="24"/>
        </w:rPr>
        <w:t xml:space="preserve">Kişisel Verilerin Korunması Kanunu (KVKK) bağlamında: eğitim verilerindeki kişisel bilgiler (isim, TC, adres) anonimleştirilmekte; kullanıcı belgelerinin gizliliği uçtan uca şifreleme ile korunmakta; veri işleme faaliyetleri açık rıza mekanizmasına bağlanmaktadır. On-premise dağıtım seçeneği, kurumsal kullanıcıların verilerini kendi altyapılarında tutmalarına olanak tanımaktadır.</w:t>
      </w:r>
    </w:p>
    <w:p>
      <w:pPr>
        <w:pStyle w:val="Heading2"/>
        <w:spacing w:after="180" w:before="360"/>
      </w:pPr>
      <w:r>
        <w:t xml:space="preserve">7.3 Mesleki Etik</w:t>
      </w:r>
    </w:p>
    <w:p>
      <w:pPr>
        <w:spacing w:after="120" w:before="120" w:line="360"/>
        <w:ind w:firstLine="720"/>
        <w:jc w:val="both"/>
      </w:pPr>
      <w:r>
        <w:rPr>
          <w:rFonts w:ascii="Times New Roman" w:cs="Times New Roman" w:eastAsia="Times New Roman" w:hAnsi="Times New Roman"/>
          <w:sz w:val="24"/>
          <w:szCs w:val="24"/>
        </w:rPr>
        <w:t xml:space="preserve">Türk avukatlık meslek kuralları çerçevesinde, PUM'un bir karar verici değil bir "karar destek aracı" olduğu her kullanım senaryosunda açıkça belirtilmektedir. Sistem, avukatın mesleki sorumluluğunu azaltmamakta; aksine onu desteklemektedir. Bağımsızlık ve çıkar çatışması ilkeleri, sistemin önerilerin tarafsızlığını ön plana çıkaran tasarımıyla gözetilmektedir.</w:t>
      </w:r>
    </w:p>
    <w:p>
      <w:r>
        <w:br w:type="page"/>
      </w:r>
    </w:p>
    <w:p>
      <w:pPr>
        <w:pStyle w:val="Heading1"/>
        <w:spacing w:after="240" w:before="480"/>
      </w:pPr>
      <w:r>
        <w:t xml:space="preserve">8. TİCARİ MODEL VE PAZAR ANALİZİ</w:t>
      </w:r>
    </w:p>
    <w:p>
      <w:pPr>
        <w:pStyle w:val="Heading2"/>
        <w:spacing w:after="180" w:before="360"/>
      </w:pPr>
      <w:r>
        <w:t xml:space="preserve">8.1 Pazar Büyüklüğü</w:t>
      </w:r>
    </w:p>
    <w:p>
      <w:pPr>
        <w:spacing w:after="120" w:before="120" w:line="360"/>
        <w:ind w:firstLine="720"/>
        <w:jc w:val="both"/>
      </w:pPr>
      <w:r>
        <w:rPr>
          <w:rFonts w:ascii="Times New Roman" w:cs="Times New Roman" w:eastAsia="Times New Roman" w:hAnsi="Times New Roman"/>
          <w:sz w:val="24"/>
          <w:szCs w:val="24"/>
        </w:rPr>
        <w:t xml:space="preserve">PUM'un hedef pazar analizi TAM-SAM-SOM çerçevesiyle gerçekleştirilmiştir:</w:t>
      </w:r>
    </w:p>
    <w:p>
      <w:pPr>
        <w:spacing w:after="12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Pazar Katmanı</w:t>
            </w:r>
          </w:p>
        </w:tc>
        <w:tc>
          <w:tcPr>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Tanım</w:t>
            </w:r>
          </w:p>
        </w:tc>
        <w:tc>
          <w:tcPr>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Büyüklük (Yıllık)</w:t>
            </w:r>
          </w:p>
        </w:tc>
      </w:tr>
      <w:tr>
        <w:tc>
          <w:tcP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TAM (Total Addressable Market)</w:t>
            </w:r>
          </w:p>
        </w:tc>
        <w:tc>
          <w:tcP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Türkiye'deki tüm avukat ve hukuk büroları</w:t>
            </w:r>
          </w:p>
        </w:tc>
        <w:tc>
          <w:tcP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~3.630M TL</w:t>
            </w:r>
          </w:p>
        </w:tc>
      </w:tr>
      <w:tr>
        <w:tc>
          <w:tcP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SAM (Serviceable Addressable Market)</w:t>
            </w:r>
          </w:p>
        </w:tc>
        <w:tc>
          <w:tcP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UYAP kullanan, 5+ avukatı olan bürolar</w:t>
            </w:r>
          </w:p>
        </w:tc>
        <w:tc>
          <w:tcP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~890M TL</w:t>
            </w:r>
          </w:p>
        </w:tc>
      </w:tr>
      <w:tr>
        <w:tc>
          <w:tcP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SOM (Serviceable Obtainable Market)</w:t>
            </w:r>
          </w:p>
        </w:tc>
        <w:tc>
          <w:tcP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İlk 3 yılda hedeflenen pazar payı</w:t>
            </w:r>
          </w:p>
        </w:tc>
        <w:tc>
          <w:tcPr>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~120M TL</w:t>
            </w:r>
          </w:p>
        </w:tc>
      </w:tr>
    </w:tbl>
    <w:p>
      <w:pPr>
        <w:spacing w:after="120" w:before="60"/>
        <w:jc w:val="center"/>
      </w:pPr>
      <w:r>
        <w:rPr>
          <w:rFonts w:ascii="Times New Roman" w:cs="Times New Roman" w:eastAsia="Times New Roman" w:hAnsi="Times New Roman"/>
          <w:i/>
          <w:iCs/>
          <w:sz w:val="20"/>
          <w:szCs w:val="20"/>
        </w:rPr>
        <w:t xml:space="preserve">Tablo 3: TAM-SAM-SOM Pazar Analizi</w:t>
      </w:r>
    </w:p>
    <w:p>
      <w:pPr>
        <w:pStyle w:val="Heading2"/>
        <w:spacing w:after="180" w:before="360"/>
      </w:pPr>
      <w:r>
        <w:t xml:space="preserve">8.2 Gelir Modeli</w:t>
      </w:r>
    </w:p>
    <w:p>
      <w:pPr>
        <w:spacing w:after="120" w:before="120" w:line="360"/>
        <w:ind w:firstLine="720"/>
        <w:jc w:val="both"/>
      </w:pPr>
      <w:r>
        <w:rPr>
          <w:rFonts w:ascii="Times New Roman" w:cs="Times New Roman" w:eastAsia="Times New Roman" w:hAnsi="Times New Roman"/>
          <w:sz w:val="24"/>
          <w:szCs w:val="24"/>
        </w:rPr>
        <w:t xml:space="preserve">SaaS abonelik modeli üç katmanda sunulmaktadır: Temel Plan (avukat başı aylık 299 TL), Profesyonel Plan (hukuk bürosu, aylık 899 TL, 10 kullanıcıya kadar) ve Kurumsal Plan (kamu kurumları ve büyük hukuk firmaları, özel fiyatlandırma). Ek gelir kalemleri olarak UYAP API entegrasyon ücreti ve eğitim/sertifikasyon hizmetleri planlanmaktadır.</w:t>
      </w:r>
    </w:p>
    <w:p>
      <w:pPr>
        <w:pStyle w:val="Heading2"/>
        <w:spacing w:after="180" w:before="360"/>
      </w:pPr>
      <w:r>
        <w:t xml:space="preserve">8.3 Rekabet Analizi</w:t>
      </w:r>
    </w:p>
    <w:p>
      <w:pPr>
        <w:spacing w:after="120" w:before="120" w:line="360"/>
        <w:ind w:firstLine="720"/>
        <w:jc w:val="both"/>
      </w:pPr>
      <w:r>
        <w:rPr>
          <w:rFonts w:ascii="Times New Roman" w:cs="Times New Roman" w:eastAsia="Times New Roman" w:hAnsi="Times New Roman"/>
          <w:sz w:val="24"/>
          <w:szCs w:val="24"/>
        </w:rPr>
        <w:t xml:space="preserve">Mevcut rakipler (SonKarar, Hukas, Attornaid, Lawyer Team) ağırlıklı olarak dava takibi ve emsal arama üzerine odaklanmaktadır. PUM'un birincil farklılaştırıcısı, bu platformlarda bulunmayan proaktif prosedürel uyum denetimi işlevidir. Bu konumlandırma, rakiplerle doğrudan rekabetten ziyade tamamlayıcı (complementary) bir pazar pozisyonu sağlamaktadır.</w:t>
      </w:r>
    </w:p>
    <w:p>
      <w:pPr>
        <w:pStyle w:val="Heading2"/>
        <w:spacing w:after="180" w:before="360"/>
      </w:pPr>
      <w:r>
        <w:t xml:space="preserve">8.4 Yatırım ve Finansman</w:t>
      </w:r>
    </w:p>
    <w:p>
      <w:pPr>
        <w:spacing w:after="120" w:before="120" w:line="360"/>
        <w:ind w:firstLine="720"/>
        <w:jc w:val="both"/>
      </w:pPr>
      <w:r>
        <w:rPr>
          <w:rFonts w:ascii="Times New Roman" w:cs="Times New Roman" w:eastAsia="Times New Roman" w:hAnsi="Times New Roman"/>
          <w:sz w:val="24"/>
          <w:szCs w:val="24"/>
        </w:rPr>
        <w:t xml:space="preserve">Pre-seed yatırım talebi: ₺2.5 milyon karşılığında %15-20 öz sermaye devri. Fonların kullanım planı: %40 teknik altyapı ve model geliştirme, %25 satış ve pazarlama, %20 hukuki lisanslama ve uyum süreçleri, %15 operasyonel giderler. 18 aylık gelir hedefi: aylık tekrar eden gelir (MRR) 750.000 TL.</w:t>
      </w:r>
    </w:p>
    <w:p>
      <w:r>
        <w:br w:type="page"/>
      </w:r>
    </w:p>
    <w:p>
      <w:pPr>
        <w:pStyle w:val="Heading1"/>
        <w:spacing w:after="240" w:before="480"/>
      </w:pPr>
      <w:r>
        <w:t xml:space="preserve">9. TARTIŞMA</w:t>
      </w:r>
    </w:p>
    <w:p>
      <w:pPr>
        <w:spacing w:after="120" w:before="120" w:line="360"/>
        <w:ind w:firstLine="720"/>
        <w:jc w:val="both"/>
      </w:pPr>
      <w:r>
        <w:rPr>
          <w:rFonts w:ascii="Times New Roman" w:cs="Times New Roman" w:eastAsia="Times New Roman" w:hAnsi="Times New Roman"/>
          <w:sz w:val="24"/>
          <w:szCs w:val="24"/>
        </w:rPr>
        <w:t xml:space="preserve">PUM'un elde ettiği performans metrikleri (%98 doğruluk, 0.974 AUC-ROC, nDCG@5: 0.58), sistemin prosedürel uyum denetimi için güçlü bir araç olduğuna işaret etmektedir. Bununla birlikte, bazı önemli kısıtlamalar ve açık araştırma soruları mevcuttur.</w:t>
      </w:r>
    </w:p>
    <w:p>
      <w:pPr>
        <w:spacing w:after="120" w:before="120" w:line="360"/>
        <w:ind w:firstLine="720"/>
        <w:jc w:val="both"/>
      </w:pPr>
      <w:r>
        <w:rPr>
          <w:rFonts w:ascii="Times New Roman" w:cs="Times New Roman" w:eastAsia="Times New Roman" w:hAnsi="Times New Roman"/>
          <w:sz w:val="24"/>
          <w:szCs w:val="24"/>
        </w:rPr>
        <w:t xml:space="preserve">Birinci kısıt, veri kümesinin temsil kapasitesidir: eğitim verisi ağırlıklı olarak Yargıtay ve BAM kararlarından oluşmakta; ilk derece mahkeme kararlarının yeterince temsil edilmemesi model genellemesini etkileyebilmektedir. İkinci kısıt, dil modelinin yorumlanabilirliğidir: attention mekanizması görselleştirme imkânı sunsa da, modelin hangi hukuki gerekçeyle karar verdiğini avukatlara tam olarak açıklamak hâlâ zorlu bir alan olmaya devam etmektedir.</w:t>
      </w:r>
    </w:p>
    <w:p>
      <w:pPr>
        <w:spacing w:after="120" w:before="120" w:line="360"/>
        <w:ind w:firstLine="720"/>
        <w:jc w:val="both"/>
      </w:pPr>
      <w:r>
        <w:rPr>
          <w:rFonts w:ascii="Times New Roman" w:cs="Times New Roman" w:eastAsia="Times New Roman" w:hAnsi="Times New Roman"/>
          <w:sz w:val="24"/>
          <w:szCs w:val="24"/>
        </w:rPr>
        <w:t xml:space="preserve">HukukBERT (Öztürk, 2025) ile karşılaştırıldığında, PUM'un daha yüksek doğruluk oranına ulaşmasının başlıca nedeni, prosedürel uyum görevine özgü etiketli veri kümesinin kullanılmasıdır; HukukBERT ise genel amaçlı hukuki dil modeli olarak tasarlanmıştır. Bu bulgu, görev-spesifik ince-ayarın (task-specific fine-tuning) alan-özgü genel ön-eğitimden daha güçlü sonuçlar ürettiğini ortaya koymaktadır.</w:t>
      </w:r>
    </w:p>
    <w:p>
      <w:pPr>
        <w:spacing w:after="120" w:before="120" w:line="360"/>
        <w:ind w:firstLine="720"/>
        <w:jc w:val="both"/>
      </w:pPr>
      <w:r>
        <w:rPr>
          <w:rFonts w:ascii="Times New Roman" w:cs="Times New Roman" w:eastAsia="Times New Roman" w:hAnsi="Times New Roman"/>
          <w:sz w:val="24"/>
          <w:szCs w:val="24"/>
        </w:rPr>
        <w:t xml:space="preserve">Adalet Bakanlığı'nın UYAP AI Karar Destek Sistemi ile ilişki açısından bakıldığında, PUM; kurumsal entegrasyon senaryosunda bir alt sistem ya da tamamlayıcı bileşen olarak konumlandırılabilir. Bu durum, özel sektör-kamu iş birliği modelinin araştırılmasını gerekli kılmaktadır.</w:t>
      </w:r>
    </w:p>
    <w:p>
      <w:r>
        <w:br w:type="page"/>
      </w:r>
    </w:p>
    <w:p>
      <w:pPr>
        <w:pStyle w:val="Heading1"/>
        <w:spacing w:after="240" w:before="480"/>
      </w:pPr>
      <w:r>
        <w:t xml:space="preserve">10. SONUÇ VE GELECEK ÇALIŞMALAR</w:t>
      </w:r>
    </w:p>
    <w:p>
      <w:pPr>
        <w:pStyle w:val="Heading2"/>
        <w:spacing w:after="180" w:before="360"/>
      </w:pPr>
      <w:r>
        <w:t xml:space="preserve">10.1 Sonuç</w:t>
      </w:r>
    </w:p>
    <w:p>
      <w:pPr>
        <w:spacing w:after="120" w:before="120" w:line="360"/>
        <w:ind w:firstLine="720"/>
        <w:jc w:val="both"/>
      </w:pPr>
      <w:r>
        <w:rPr>
          <w:rFonts w:ascii="Times New Roman" w:cs="Times New Roman" w:eastAsia="Times New Roman" w:hAnsi="Times New Roman"/>
          <w:sz w:val="24"/>
          <w:szCs w:val="24"/>
        </w:rPr>
        <w:t xml:space="preserve">Bu çalışmada, Türk hukuk sistemindeki prosedürel uyum sorununu çözmek amacıyla geliştirilen "Prosedürel Uyum Muhafızı" (PUM) platformu kapsamlı biçimde ele alınmıştır. BERTurk tabanlı ince-ayarlı NLP modeli, RAG emsal arama motoru ve UYAP entegrasyonunu bünyesinde barındıran PUM; güçlü performans metrikleri (%98 doğruluk, nDCG@5: 0.58), AB AI Act uyumlu tasarımı ve geniş pazar potansiyeli (~3.630M TL TAM) ile Türk LegalTech ekosisteminde özgün bir konuma sahiptir.</w:t>
      </w:r>
    </w:p>
    <w:p>
      <w:pPr>
        <w:spacing w:after="120" w:before="120" w:line="360"/>
        <w:ind w:firstLine="720"/>
        <w:jc w:val="both"/>
      </w:pPr>
      <w:r>
        <w:rPr>
          <w:rFonts w:ascii="Times New Roman" w:cs="Times New Roman" w:eastAsia="Times New Roman" w:hAnsi="Times New Roman"/>
          <w:sz w:val="24"/>
          <w:szCs w:val="24"/>
        </w:rPr>
        <w:t xml:space="preserve">Çalışmanın temel katkıları şunlardır: (i) Türk hukukuna özgü prosedürel uyum sınıflandırma veri kümesinin oluşturulması, (ii) BERTurk'ün prosedürel uyum görevi için ince-ayar metodolojisinin geliştirilmesi, (iii) hukuki RAG sisteminin BM25 baseline'ını %87 geride bırakan performansının gösterilmesi, (iv) AB AI Act ve KVKK uyumlu hukuki yapay zeka mimari çerçevesinin ortaya konması.</w:t>
      </w:r>
    </w:p>
    <w:p>
      <w:pPr>
        <w:pStyle w:val="Heading2"/>
        <w:spacing w:after="180" w:before="360"/>
      </w:pPr>
      <w:r>
        <w:t xml:space="preserve">10.2 Gelecek Çalışmalar</w:t>
      </w:r>
    </w:p>
    <w:p>
      <w:pPr>
        <w:spacing w:after="120" w:before="120" w:line="360"/>
        <w:ind w:firstLine="720"/>
        <w:jc w:val="both"/>
      </w:pPr>
      <w:r>
        <w:rPr>
          <w:rFonts w:ascii="Times New Roman" w:cs="Times New Roman" w:eastAsia="Times New Roman" w:hAnsi="Times New Roman"/>
          <w:sz w:val="24"/>
          <w:szCs w:val="24"/>
        </w:rPr>
        <w:t xml:space="preserve">Gelecek araştırma gündeminde şu başlıklar yer almaktadır:</w:t>
      </w:r>
    </w:p>
    <w:p>
      <w:pPr>
        <w:pStyle w:val="ListParagraph"/>
        <w:numPr>
          <w:ilvl w:val="0"/>
          <w:numId w:val="1"/>
        </w:numPr>
        <w:spacing w:after="60" w:before="60" w:line="360"/>
        <w:ind w:left="720"/>
      </w:pPr>
      <w:r>
        <w:rPr>
          <w:rFonts w:ascii="Times New Roman" w:cs="Times New Roman" w:eastAsia="Times New Roman" w:hAnsi="Times New Roman"/>
          <w:sz w:val="24"/>
          <w:szCs w:val="24"/>
        </w:rPr>
        <w:t xml:space="preserve">HukukBERT veya Mecellem gibi daha büyük Türkçe hukuki LLM'lerle PUM modelinin karşılaştırılmalı değerlendirmesi.</w:t>
      </w:r>
    </w:p>
    <w:p>
      <w:pPr>
        <w:pStyle w:val="ListParagraph"/>
        <w:numPr>
          <w:ilvl w:val="0"/>
          <w:numId w:val="1"/>
        </w:numPr>
        <w:spacing w:after="60" w:before="60" w:line="360"/>
        <w:ind w:left="720"/>
      </w:pPr>
      <w:r>
        <w:rPr>
          <w:rFonts w:ascii="Times New Roman" w:cs="Times New Roman" w:eastAsia="Times New Roman" w:hAnsi="Times New Roman"/>
          <w:sz w:val="24"/>
          <w:szCs w:val="24"/>
        </w:rPr>
        <w:t xml:space="preserve">Çok-görevli öğrenme (multi-task learning) ile aynı anda prosedürel uyum + hata türü + süre hesaplama görevlerinin birlikte çözülmesi.</w:t>
      </w:r>
    </w:p>
    <w:p>
      <w:pPr>
        <w:pStyle w:val="ListParagraph"/>
        <w:numPr>
          <w:ilvl w:val="0"/>
          <w:numId w:val="1"/>
        </w:numPr>
        <w:spacing w:after="60" w:before="60" w:line="360"/>
        <w:ind w:left="720"/>
      </w:pPr>
      <w:r>
        <w:rPr>
          <w:rFonts w:ascii="Times New Roman" w:cs="Times New Roman" w:eastAsia="Times New Roman" w:hAnsi="Times New Roman"/>
          <w:sz w:val="24"/>
          <w:szCs w:val="24"/>
        </w:rPr>
        <w:t xml:space="preserve">Gerçek kullanıcı deneyleriyle sistemin pratik kullanılabilirliğinin ve hukuk pratiğine katkısının ölçülmesi.</w:t>
      </w:r>
    </w:p>
    <w:p>
      <w:pPr>
        <w:pStyle w:val="ListParagraph"/>
        <w:numPr>
          <w:ilvl w:val="0"/>
          <w:numId w:val="1"/>
        </w:numPr>
        <w:spacing w:after="60" w:before="60" w:line="360"/>
        <w:ind w:left="720"/>
      </w:pPr>
      <w:r>
        <w:rPr>
          <w:rFonts w:ascii="Times New Roman" w:cs="Times New Roman" w:eastAsia="Times New Roman" w:hAnsi="Times New Roman"/>
          <w:sz w:val="24"/>
          <w:szCs w:val="24"/>
        </w:rPr>
        <w:t xml:space="preserve">Adalet Bakanlığı ile resmi ortaklık kapsamında UYAP'a entegre bir pilot uygulamasının hayata geçirilmesi.</w:t>
      </w:r>
    </w:p>
    <w:p>
      <w:pPr>
        <w:pStyle w:val="ListParagraph"/>
        <w:numPr>
          <w:ilvl w:val="0"/>
          <w:numId w:val="1"/>
        </w:numPr>
        <w:spacing w:after="60" w:before="60" w:line="360"/>
        <w:ind w:left="720"/>
      </w:pPr>
      <w:r>
        <w:rPr>
          <w:rFonts w:ascii="Times New Roman" w:cs="Times New Roman" w:eastAsia="Times New Roman" w:hAnsi="Times New Roman"/>
          <w:sz w:val="24"/>
          <w:szCs w:val="24"/>
        </w:rPr>
        <w:t xml:space="preserve">Türk hukukuna özgü bir LegalBench benchmark kümesinin oluşturulması.</w:t>
      </w:r>
    </w:p>
    <w:p>
      <w:r>
        <w:br w:type="page"/>
      </w:r>
    </w:p>
    <w:p>
      <w:pPr>
        <w:pStyle w:val="Heading1"/>
        <w:spacing w:after="240" w:before="480"/>
      </w:pPr>
      <w:r>
        <w:t xml:space="preserve">11. KAYNAKÇA</w:t>
      </w:r>
    </w:p>
    <w:p>
      <w:pPr>
        <w:spacing w:after="120" w:before="120" w:line="360"/>
        <w:ind w:firstLine="720"/>
        <w:jc w:val="both"/>
      </w:pPr>
      <w:r>
        <w:rPr>
          <w:rFonts w:ascii="Times New Roman" w:cs="Times New Roman" w:eastAsia="Times New Roman" w:hAnsi="Times New Roman"/>
          <w:sz w:val="24"/>
          <w:szCs w:val="24"/>
        </w:rPr>
        <w:t xml:space="preserve">Adalet Bakanlığı. (2024). UYAP Entegrasyon Raporu: 56 Kurum, 181 Alan. T.C. Adalet Bakanlığı Bilgi İşlem Dairesi Başkanlığı. Ankara.</w:t>
      </w:r>
    </w:p>
    <w:p>
      <w:pPr>
        <w:spacing w:after="120" w:before="120" w:line="360"/>
        <w:ind w:firstLine="720"/>
        <w:jc w:val="both"/>
      </w:pPr>
      <w:r>
        <w:rPr>
          <w:rFonts w:ascii="Times New Roman" w:cs="Times New Roman" w:eastAsia="Times New Roman" w:hAnsi="Times New Roman"/>
          <w:sz w:val="24"/>
          <w:szCs w:val="24"/>
        </w:rPr>
        <w:t xml:space="preserve">Adalet Bakanlığı. (2026). UYAP AI Karar Destek Sistemi Basın Açıklaması. Ankara: T.C. Adalet Bakanlığı.</w:t>
      </w:r>
    </w:p>
    <w:p>
      <w:pPr>
        <w:spacing w:after="120" w:before="120" w:line="360"/>
        <w:ind w:firstLine="720"/>
        <w:jc w:val="both"/>
      </w:pPr>
      <w:r>
        <w:rPr>
          <w:rFonts w:ascii="Times New Roman" w:cs="Times New Roman" w:eastAsia="Times New Roman" w:hAnsi="Times New Roman"/>
          <w:sz w:val="24"/>
          <w:szCs w:val="24"/>
        </w:rPr>
        <w:t xml:space="preserve">Chaisse, J., &amp; Kirkwood, J. (2022). Smart Courts, Smart Contracts, and the Future of Online Dispute Resolution. Stanford Journal of Blockchain Law &amp; Policy, 5(1), 62–91.</w:t>
      </w:r>
    </w:p>
    <w:p>
      <w:pPr>
        <w:spacing w:after="120" w:before="120" w:line="360"/>
        <w:ind w:firstLine="720"/>
        <w:jc w:val="both"/>
      </w:pPr>
      <w:r>
        <w:rPr>
          <w:rFonts w:ascii="Times New Roman" w:cs="Times New Roman" w:eastAsia="Times New Roman" w:hAnsi="Times New Roman"/>
          <w:sz w:val="24"/>
          <w:szCs w:val="24"/>
        </w:rPr>
        <w:t xml:space="preserve">Chalkidis, I., Fergadiotis, M., Malakasiotis, P., Aletras, N., &amp; Androutsopoulos, I. (2020). LEGAL-BERT: The Muppets Straight Out of Law School. arXiv preprint arXiv:2010.02559.</w:t>
      </w:r>
    </w:p>
    <w:p>
      <w:pPr>
        <w:spacing w:after="120" w:before="120" w:line="360"/>
        <w:ind w:firstLine="720"/>
        <w:jc w:val="both"/>
      </w:pPr>
      <w:r>
        <w:rPr>
          <w:rFonts w:ascii="Times New Roman" w:cs="Times New Roman" w:eastAsia="Times New Roman" w:hAnsi="Times New Roman"/>
          <w:sz w:val="24"/>
          <w:szCs w:val="24"/>
        </w:rPr>
        <w:t xml:space="preserve">Efe, A. (2022). Yargısal ve Hukuki Süreçlerde Yapay Zeka Kullanan Araçlar Üzerine Bir Araştırma. Bilgi Yönetimi Dergisi, 5(1), 91–117.</w:t>
      </w:r>
    </w:p>
    <w:p>
      <w:pPr>
        <w:spacing w:after="120" w:before="120" w:line="360"/>
        <w:ind w:firstLine="720"/>
        <w:jc w:val="both"/>
      </w:pPr>
      <w:r>
        <w:rPr>
          <w:rFonts w:ascii="Times New Roman" w:cs="Times New Roman" w:eastAsia="Times New Roman" w:hAnsi="Times New Roman"/>
          <w:sz w:val="24"/>
          <w:szCs w:val="24"/>
        </w:rPr>
        <w:t xml:space="preserve">European Parliament. (2024). EU Artificial Intelligence Act (Regulation (EU) 2024/1689). Official Journal of the European Union.</w:t>
      </w:r>
    </w:p>
    <w:p>
      <w:pPr>
        <w:spacing w:after="120" w:before="120" w:line="360"/>
        <w:ind w:firstLine="720"/>
        <w:jc w:val="both"/>
      </w:pPr>
      <w:r>
        <w:rPr>
          <w:rFonts w:ascii="Times New Roman" w:cs="Times New Roman" w:eastAsia="Times New Roman" w:hAnsi="Times New Roman"/>
          <w:sz w:val="24"/>
          <w:szCs w:val="24"/>
        </w:rPr>
        <w:t xml:space="preserve">Küçük, D., &amp; Can, F. (2024). Hukuki Metinlerin Otomatik İşlenmesinde Yapay Zeka Teknolojilerinin Kullanımı. Bilişim Hukuku Dergisi, 6(1).</w:t>
      </w:r>
    </w:p>
    <w:p>
      <w:pPr>
        <w:spacing w:after="120" w:before="120" w:line="360"/>
        <w:ind w:firstLine="720"/>
        <w:jc w:val="both"/>
      </w:pPr>
      <w:r>
        <w:rPr>
          <w:rFonts w:ascii="Times New Roman" w:cs="Times New Roman" w:eastAsia="Times New Roman" w:hAnsi="Times New Roman"/>
          <w:sz w:val="24"/>
          <w:szCs w:val="24"/>
        </w:rPr>
        <w:t xml:space="preserve">Küçük Çolpan, M. (2024). Yapay Zekanın Hukuk Sisteminde Kullanılması. Bilişim Hukuku Dergisi, 6(1), 24–79.</w:t>
      </w:r>
    </w:p>
    <w:p>
      <w:pPr>
        <w:spacing w:after="120" w:before="120" w:line="360"/>
        <w:ind w:firstLine="720"/>
        <w:jc w:val="both"/>
      </w:pPr>
      <w:r>
        <w:rPr>
          <w:rFonts w:ascii="Times New Roman" w:cs="Times New Roman" w:eastAsia="Times New Roman" w:hAnsi="Times New Roman"/>
          <w:sz w:val="24"/>
          <w:szCs w:val="24"/>
        </w:rPr>
        <w:t xml:space="preserve">Mumcuoğlu, E., Öztürk, C. E., Yıldız, O. T., &amp; Özgür, A. (2021). LegalNLP — Natural Language Processing methods for the Turkish Legal Language. arXiv preprint arXiv:2110.13681.</w:t>
      </w:r>
    </w:p>
    <w:p>
      <w:pPr>
        <w:spacing w:after="120" w:before="120" w:line="360"/>
        <w:ind w:firstLine="720"/>
        <w:jc w:val="both"/>
      </w:pPr>
      <w:r>
        <w:rPr>
          <w:rFonts w:ascii="Times New Roman" w:cs="Times New Roman" w:eastAsia="Times New Roman" w:hAnsi="Times New Roman"/>
          <w:sz w:val="24"/>
          <w:szCs w:val="24"/>
        </w:rPr>
        <w:t xml:space="preserve">Öztürk, M. U. (2025). HukukBERT: Domain-Specific Language Model for Turkish Law. arXiv preprint arXiv:2604.04790.</w:t>
      </w:r>
    </w:p>
    <w:p>
      <w:pPr>
        <w:spacing w:after="120" w:before="120" w:line="360"/>
        <w:ind w:firstLine="720"/>
        <w:jc w:val="both"/>
      </w:pPr>
      <w:r>
        <w:rPr>
          <w:rFonts w:ascii="Times New Roman" w:cs="Times New Roman" w:eastAsia="Times New Roman" w:hAnsi="Times New Roman"/>
          <w:sz w:val="24"/>
          <w:szCs w:val="24"/>
        </w:rPr>
        <w:t xml:space="preserve">Öztürk, C. E. (2023). Retrieving Turkish Prior Legal Cases with Deep Learning. Master's Thesis, Bilkent University.</w:t>
      </w:r>
    </w:p>
    <w:p>
      <w:pPr>
        <w:spacing w:after="120" w:before="120" w:line="360"/>
        <w:ind w:firstLine="720"/>
        <w:jc w:val="both"/>
      </w:pPr>
      <w:r>
        <w:rPr>
          <w:rFonts w:ascii="Times New Roman" w:cs="Times New Roman" w:eastAsia="Times New Roman" w:hAnsi="Times New Roman"/>
          <w:sz w:val="24"/>
          <w:szCs w:val="24"/>
        </w:rPr>
        <w:t xml:space="preserve">Schweter, S. (2020). BERTurk: BERT Models for Turkish. Zenodo. doi:10.5281/zenodo.3770924.</w:t>
      </w:r>
    </w:p>
    <w:p>
      <w:pPr>
        <w:spacing w:after="120" w:before="120" w:line="360"/>
        <w:ind w:firstLine="720"/>
        <w:jc w:val="both"/>
      </w:pPr>
      <w:r>
        <w:rPr>
          <w:rFonts w:ascii="Times New Roman" w:cs="Times New Roman" w:eastAsia="Times New Roman" w:hAnsi="Times New Roman"/>
          <w:sz w:val="24"/>
          <w:szCs w:val="24"/>
        </w:rPr>
        <w:t xml:space="preserve">Türkiye Büyük Millet Meclisi. (2024). Yapay Zeka Kanun Tasarısı. Haziran 2024, Ankara.</w:t>
      </w:r>
    </w:p>
    <w:p>
      <w:pPr>
        <w:spacing w:after="120" w:before="120" w:line="360"/>
        <w:ind w:firstLine="720"/>
        <w:jc w:val="both"/>
      </w:pPr>
      <w:r>
        <w:rPr>
          <w:rFonts w:ascii="Times New Roman" w:cs="Times New Roman" w:eastAsia="Times New Roman" w:hAnsi="Times New Roman"/>
          <w:sz w:val="24"/>
          <w:szCs w:val="24"/>
        </w:rPr>
        <w:t xml:space="preserve">Turker, M., Kızıloğlu, A., Güngör, O., &amp; Üsküdarlı, S. (2025). TabiBERT: A Large-Scale ModernBERT Foundation Model and Unified Benchmarking Framework for Turkish. arXiv preprint.</w:t>
      </w:r>
    </w:p>
    <w:p>
      <w:pPr>
        <w:spacing w:after="120" w:before="120" w:line="360"/>
        <w:ind w:firstLine="720"/>
        <w:jc w:val="both"/>
      </w:pPr>
      <w:r>
        <w:rPr>
          <w:rFonts w:ascii="Times New Roman" w:cs="Times New Roman" w:eastAsia="Times New Roman" w:hAnsi="Times New Roman"/>
          <w:sz w:val="24"/>
          <w:szCs w:val="24"/>
        </w:rPr>
        <w:t xml:space="preserve">Ulusal Yapay Zeka Stratejisi 2021–2025. (2021). T.C. Cumhurbaşkanlığı Dijital Dönüşüm Ofisi Yayınları, Ankara.</w:t>
      </w:r>
    </w:p>
    <w:p>
      <w:pPr>
        <w:spacing w:after="120" w:before="120" w:line="360"/>
        <w:ind w:firstLine="720"/>
        <w:jc w:val="both"/>
      </w:pPr>
      <w:r>
        <w:rPr>
          <w:rFonts w:ascii="Times New Roman" w:cs="Times New Roman" w:eastAsia="Times New Roman" w:hAnsi="Times New Roman"/>
          <w:sz w:val="24"/>
          <w:szCs w:val="24"/>
        </w:rPr>
        <w:t xml:space="preserve">Vaswani, A., Shazeer, N., Parmar, N., Uszkoreit, J., Jones, L., Gomez, A. N., Kaiser, Ł., &amp; Polosukhin, I. (2017). Attention is All You Need. Advances in Neural Information Processing Systems, 30.</w:t>
      </w:r>
    </w:p>
    <w:p>
      <w:pPr>
        <w:spacing w:after="120" w:before="120"/>
      </w:pPr>
    </w:p>
    <w:p>
      <w:pPr>
        <w:spacing w:after="120" w:before="120"/>
      </w:pPr>
    </w:p>
    <w:p>
      <w:pPr>
        <w:spacing w:after="120" w:before="120"/>
        <w:jc w:val="center"/>
      </w:pPr>
      <w:r>
        <w:rPr>
          <w:rFonts w:ascii="Times New Roman" w:cs="Times New Roman" w:eastAsia="Times New Roman" w:hAnsi="Times New Roman"/>
          <w:b/>
          <w:bCs/>
          <w:i/>
          <w:iCs/>
          <w:color w:val="2E5090"/>
          <w:sz w:val="24"/>
          <w:szCs w:val="24"/>
        </w:rPr>
        <w:t xml:space="preserve">— TEZ SONU —</w:t>
      </w:r>
    </w:p>
    <w:p>
      <w:pPr>
        <w:spacing w:after="120" w:before="120"/>
      </w:pPr>
    </w:p>
    <w:p>
      <w:pPr>
        <w:spacing w:after="120" w:before="120"/>
        <w:jc w:val="center"/>
      </w:pPr>
      <w:r>
        <w:rPr>
          <w:rFonts w:ascii="Times New Roman" w:cs="Times New Roman" w:eastAsia="Times New Roman" w:hAnsi="Times New Roman"/>
          <w:color w:val="666666"/>
          <w:sz w:val="20"/>
          <w:szCs w:val="20"/>
        </w:rPr>
        <w:t xml:space="preserve">Nişantaşı Üniversitesi · Yapay Zeka YL Programı · Eylül 2026</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Nişantaşı Üniversitesi · Yapay Zeka Yüksek Lisans Programı · 2026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6"/>
      </w:pBdr>
      <w:jc w:val="right"/>
    </w:pPr>
    <w:r>
      <w:rPr>
        <w:rFonts w:ascii="Times New Roman" w:cs="Times New Roman" w:eastAsia="Times New Roman" w:hAnsi="Times New Roman"/>
        <w:i/>
        <w:iCs/>
        <w:color w:val="444444"/>
        <w:sz w:val="18"/>
        <w:szCs w:val="18"/>
      </w:rPr>
      <w:t xml:space="preserve">Prosedürel Uyum Muhafızı (PUM) — Bitirme Tezi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2026-09-26T06:16:12.500Z</dcterms:created>
  <dcterms:modified xsi:type="dcterms:W3CDTF">2026-09-26T06:16:12.509Z</dcterms:modified>
</cp:coreProperties>
</file>

<file path=docProps/custom.xml><?xml version="1.0" encoding="utf-8"?>
<Properties xmlns="http://schemas.openxmlformats.org/officeDocument/2006/custom-properties" xmlns:vt="http://schemas.openxmlformats.org/officeDocument/2006/docPropsVTypes"/>
</file>