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/>
          <w:i w:val="0"/>
          <w:sz w:val="24"/>
        </w:rPr>
        <w:t>T.C. ADALET BAKANLIĞI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TÜBİTAK BİLGEM · BİLGİ VE İLETİŞİM TEKNOLOJİLERİ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 w:val="0"/>
          <w:sz w:val="18"/>
        </w:rPr>
        <w:t>NİŞANTAŞI ÜNİVERSİTESİ – YAPAY ZEKÂ YÜKSEK LİSANS PROGRAMI</w:t>
      </w:r>
    </w:p>
    <w:p/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/>
          <w:i w:val="0"/>
          <w:sz w:val="40"/>
        </w:rPr>
        <w:t>UYAP 2.0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/>
          <w:i w:val="0"/>
          <w:sz w:val="28"/>
        </w:rPr>
        <w:t>PROSEDÜREL UYUM MUHAFIZI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20"/>
        </w:rPr>
        <w:t>Adalet Bakanlığı ve TÜBİTAK İçin Kapsamlı Teknik Sunum Dokümanı</w:t>
      </w:r>
    </w:p>
    <w:p/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/>
          <w:i w:val="0"/>
          <w:sz w:val="20"/>
        </w:rPr>
        <w:t>Hazırlayan: Mehmet ALBAYRAK (20251556001)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 w:val="0"/>
          <w:sz w:val="18"/>
        </w:rPr>
        <w:t>Danışmanlar: Dr. Öğr. Üyesi Ulaş VURAL · Dr. Ali ÖZKURT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 w:val="0"/>
          <w:sz w:val="18"/>
        </w:rPr>
        <w:t>Eylül 2026 · mehmet.albayrak@nisantasi.edu.tr · lawai.tr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Kontrollü simülasyon verileri ile hazırlanmıştır. Gerçek UYAP üretim verisi kullanılmamıştır. Nihai hüküm yetkisi her zaman hâkimdedir.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1. YÖNETİCİ ÖZETİ – BAKAN VE TÜBİTAK İÇİN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1.1. Neden Bu Proje?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Türkiye yargı sistemi tarihinin en yüksek iş yükü altındadır: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Gösterge</w:t>
            </w:r>
          </w:p>
        </w:tc>
        <w:tc>
          <w:tcPr>
            <w:tcW w:type="dxa" w:w="3289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Değer</w:t>
            </w:r>
          </w:p>
        </w:tc>
        <w:tc>
          <w:tcPr>
            <w:tcW w:type="dxa" w:w="3289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Kaynak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Yıllık gelen dosya (2025)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~8,8 milyon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Adalet Bakanlığı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İcra-iflas derdest dosya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~24,5 milyon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Adalet Bakanlığı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Hâkim + savcı sayısı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~24.800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HSYK 2024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Ortalama dava süresi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~847 gün (Avrupa ~200 gün)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CEPEJ 2023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Usul hatası kaynaklı red/gecikme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%23–%34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Yargıtay istatistikleri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Avukat başına haftalık prosedür kontrolü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~12 saat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TBB anketi</w:t>
            </w:r>
          </w:p>
        </w:tc>
      </w:tr>
    </w:tbl>
    <w:p/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Mevcut UYAP e-tebligat ve e-belge yönetiminde güçlü bir Dijital Adalet 1.0 platformudur. Ancak semantik arama, proaktif usul denetimi ve açıklanabilir karar destek katmanı yoktur. Usul hataları çoğu zaman ancak istinaf/temyiz aşamasında fark edilir.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1.2. Önerilen Çözüm: Üç Teknolojik Omurga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UYAP 2.0 – Prosedürel Uyum Muhafızı, mevcut UYAP’ı bozmayan eklenti (add-on) tarzında bir yapay zekâ katmanıdır: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Teknoloji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İşlev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Nerede Kullanılır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NumPy Sıfırdan Lineer Nöron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Usul sapma skorlaması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Soft-check: 0.30–0.70 soft-alert, ≥0.70 hard-stop önerisi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HukukBERT + Hibrit RAG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Semantik emsal arama + kaynak gösterimi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Hâkim/savcı paneli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Hard-Stop / Soft-Alert Kural Motoru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CMK/HMK usul koruması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m.150, m.102, m.174 vb. ihlalde blokaj</w:t>
            </w:r>
          </w:p>
        </w:tc>
      </w:tr>
    </w:tbl>
    <w:p/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1.3. Kontrollü Simülasyon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Metrik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Değer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Hedef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Recall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%95.9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≥%95.0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FPR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%0.9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≤%5.0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F1-Score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%95.6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Referans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Precision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%95.3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Referans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nDCG@5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0.58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BM25 0.31 → +%87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1.4. Pilot Stratejisi – En Düşük Riskli Yol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Büyük şehir ağır ceza ile başlamak teknik ve siyasi risk taşır. Tercih: şablonlu prosedür, yönetilebilir hacim, düşük dirençli küçük/orta adliyeler.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Öncelik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Mahkeme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Yerler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Gerekçe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Trafik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Burdur, Isparta, Bolu, Kütahya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Yüksek hacim, standart usul, düşük risk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Tüketici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Aynı iller + büyükşehir şubesi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Şablonlu dosya, net mevzuat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İcra (seçilmiş)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Küçük/orta iller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Süre/tebligat hard-stop testi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Asliye Ceza (dar)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Pilot illerde sınırlı tür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CMK m.150 gerçek test</w:t>
            </w:r>
          </w:p>
        </w:tc>
      </w:tr>
    </w:tbl>
    <w:p/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Burdur özellikle uygundur: ölçek yönetilebilir, eğitim hızlı, manşet riski yok, kontrollü deney ortamı sağlar.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2. NUMPY LİNEER NÖRON – TAM TEKNİK ANALİZ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2.1. Tanım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Tek yapay sinir hücresinin matematiksel modeli. Girdileri ağırlıklarla çarpar, bias ekler, tek sayı üretir: ŷ = Xw + b. Kara kutu değildir; her ağırlık ve gradyan açıkça görülür. Yüksek riskli yargı alanında denetlenebilirlik için tercih edilmiştir.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2.2. Neden From-Scratch NumPy?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PyTorch/TensorFlow autograd “içeride ne oluyor?” sorusuna cevap vermez. Bakanlık/TÜBİTAK denetiminde “bu ağırlık neden değişti, hangi özellik ne kadar etkili?” sorularına net cevap için tüm matematik satır satır kodlanmıştır.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2.3. Matematik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MSE: L = (1/n) ‖Xw + b − y‖₂²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∂L/∂w = (2/n) Xᵀ (ŷ − y)   |   ∂L/∂b = (2/n) Σ(ŷᵢ − yᵢ)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2.4. Tam Kaynak Kodu (Ekran Görüntüsü)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736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numpy_lin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73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Şekil 1. LinearNeuron sınıfı – NumPy from-scratch (SGD / Momentum / Adam).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2.5. UYAP’ta Tam Kullanım Yeri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PUM soft-check katmanında. Dosya olayları özellik vektörüne dönüşür (tebligat, süre, zorunlu müdafi, belge eksikliği, geçmiş sapma, gecikme). Nöron “usul sapma skoru” üretir: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Skor &lt; 0.30 → ALLOW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0.30 ≤ Skor &lt; 0.70 → WARN (soft-alert)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Skor ≥ 0.70 → BLOCK önerisi (hard-stop ile birleşebilir)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Skor hüküm vermez; sadece “usul açısından olağandışı durum var” der. Nihai takdir hâkimindir.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2.6. Deneysel Loss ve Hiperparametre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Epoch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SGD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Momentum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Adam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85.635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85.635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85.635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41.285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44.160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121.654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2.213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2.910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117.152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0.057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0.116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111.671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67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Şekil 2. Optimizatör loss eğrileri (lr=0.01).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50. epok taramasında Momentum + lr=0.01 en düşük loss’u (0.0012) vermiştir. Klasik SGD düşük boyutlu doğrusal problemde hızlı yakınsar; Adam gürültülü senaryolarda avantaj sağlar.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3. HUKUKBERT – TAM TEKNİK ANALİZ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3.1. Tanım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dbmdz/bert-base-turkish-cased modelinin hukuk metinleri üzerinde domain-adaptive pretraining (DAPT) ile uyarlanmış hâlidir. “Hukuk dilini anlayan Türkçe BERT”tir.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3.2. Neden Genel BERT Yetmez?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Genel modeller günlük Türkçe’yi iyi anlar; uzun hukuki cümleleri, “m.150/2”, “zorunlu müdafi”, “tereke”, emsal üslubu ve Osmanlıca kökenli terimleri yeterince yakalayamaz. HukukBERT bu boşluğu doldurur.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3.3. Eğitim Adımları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Temel: dbmdz/bert-base-turkish-cased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Veri: Kamuya açık Yargıtay, Danıştay, AYM + mevzuat (~18 GB temizlenmiş hedef)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DAPT: MLM + Span Masking + Whole-Word + Keyword Masking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Donanım: 4×A100 veya eşdeğer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Çıktı: 768 boyutlu hukuk-özgü embedding encoder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3.4. UYAP’ta Kullanım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1) Semantik emsal arama (RAG retrieval): Sorgu vektöre çevrilir, Milvus/FAISS’te benzer kararlar bulunur.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2) NER: Taraf, tarih, madde, mahkeme adı çıkarımı → PUM özellik vektörü ve filtreler.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3.5. RAG Zinciri ve Kod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Sorgu → HukukBERT embedding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Dense (Milvus/FAISS) + BM25 → hibrit (α=0.6)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Top-5 kaynak → kaynak gösterimli generation</w:t>
      </w:r>
    </w:p>
    <w:p>
      <w:pPr>
        <w:pStyle w:val="ListNumber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Guardrail: Atıf yoksa uyarı + insan denetimi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1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Şekil 3. HukukRAG / hybrid retrieval + guardrail kod ekranı.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3.6. RAG Performansı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Metrik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HukukBERT+RAG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BM25</w:t>
            </w:r>
          </w:p>
        </w:tc>
        <w:tc>
          <w:tcPr>
            <w:tcW w:type="dxa" w:w="2466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İyileşme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nDCG@5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0.58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0.31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+%87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MRR@5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0.72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0.41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+%76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Emsal süresi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~8 sn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~12 dk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Dramatik</w:t>
            </w:r>
          </w:p>
        </w:tc>
      </w:tr>
      <w:tr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Halüsinasyon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%3.8–4.2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66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Guardrail ile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4. UYAP 2.0 SİSTEM MİMARİSİ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4.1. Tasarım İlkeleri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Yargı yetkisini ikame etmeme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Human-in-the-loop (her kritik çıktı insan onayına tabi)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Açıklanabilirlik (SHAP / attention / kaynak)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Veri egemenliği (Türkiye içi, on-premise seçenek)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Modülerlik (UYAP’ı bozmayan add-on)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Denetim izi (SHA-256 zinciri, 7 yıl)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4.2. Dört Katman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214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1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Şekil 4. Katmanlı mimari.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Katman 1 Sunum · Katman 2 Uygulama (Adapter, Kafka) · Katman 3 YZ (OCR-NER-HukukBERT-RAG-PUM-NumPy-XAI) · Katman 4 Veri &amp; Güvenlik (TDE, AES-256, TLS 1.3, RBAC, audit).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4.3. Hard-Stop / Soft-Alert ve Kod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CMK m.150 – Zorunlu müdafi yoksa sorgulama engellenir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HMK m.147 / Tebligat – Tebligat teyidi yoksa celse açılamaz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CMK m.102, m.174 – Süre ve iddianame kontrolleri</w:t>
      </w:r>
    </w:p>
    <w:p>
      <w:pPr>
        <w:pStyle w:val="ListBullet"/>
        <w:spacing w:after="20"/>
      </w:pPr>
      <w:r>
        <w:rPr>
          <w:rFonts w:ascii="Arial" w:hAnsi="Arial" w:cs="Arial"/>
          <w:rFonts w:ascii="Arial" w:hAnsi="Arial"/>
          <w:b w:val="0"/>
          <w:i w:val="0"/>
          <w:sz w:val="19"/>
        </w:rPr>
        <w:t>Soft: Süre aşımı yaklaşımı, belge eksikliği, anomali skoru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1913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91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Şekil 5. ProceduralGuardian hard-stop / soft-alert kod ekranı.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5. UYAP’A ENTEGRASYON SAFHALARI (36 AY)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5.1. Teknik Bağlantı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72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Şekil 6. UYAP Core ↔ CDC (Debezium+Kafka) ↔ Adapter ↔ PUM.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Kritik prensip: UYAP çekirdeğine doğrudan müdahale yok. Olaylar CDC ile yakalanır, Adapter çevirir, sonuçlar eklenti olarak yansır. “UYAP çalışmaya devam eder, yanına akıllı gözcü eklenir.”</w:t>
      </w:r>
    </w:p>
    <w:p>
      <w:pPr>
        <w:pStyle w:val="Heading2"/>
      </w:pPr>
      <w:r>
        <w:rPr>
          <w:rFonts w:ascii="Arial" w:hAnsi="Arial" w:cs="Arial"/>
          <w:rFonts w:ascii="Arial" w:hAnsi="Arial"/>
          <w:b/>
          <w:i w:val="0"/>
          <w:color w:val="1B4F72"/>
          <w:sz w:val="23"/>
        </w:rPr>
        <w:t>5.2. Fazlar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64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ph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6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16"/>
        </w:rPr>
        <w:t>Şekil 7. 36 aylık yol haritası.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Faz 0 (Ay 1–7): Etik + KVKK DPIA + anonim veri + HukukBERT DAPT. Bu faz bitmeden canlı sistem açılmaz.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Faz 1 (Ay 6–22): Burdur/Isparta/Bolu – Trafik+Tüketici pilot. OCR-NER-embedding, RAG, PUM, eğitim, 6–9 ay canlı KPI.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Faz 2 (Ay 18–30): XAI, iyileştirme, yeni mahkeme türleri, p95 ≤ 8 sn.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Faz 3 (Ay 28–36): Ulusal dağıtım, bağımsız denetim, CEPEJ/OECD, yayın.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6. PİLOT UYGULAMA – NEREDEN BAŞLAMALI?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Süre 6–12 ay (3 ay kurulum/eğitim + 6–9 ay canlı). Kapsam: seçilen mahkemelerde belirli dosya türleri. Gönüllü hâkim/savcı/katip. Eğitim bitmeden canlıya geçilmez.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KPI: hard-stop/soft-alert/override oranları; usul bozma değişimi; emsal süresi (dk→sn); kabul ≥4.0/5; uptime ≥%99; p95 ≤8 sn; halüsinasyon ≤%5.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Go/No-Go: 6. ay ara, 12. ay nihai. Başarı → Asliye Ceza/İcra → büyükşehir sınırlı → ulusal. Sistem fail-safe; hâkim işleyişini kilitlemez.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Trafik: standart usul, yüksek hacim, hızlı ölçüm. Tüketici: şablonlu, RAG değeri yüksek, vatandaş algısı olumlu.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7. DENEYSEL SONUÇLAR ÖZETİ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Metrik</w:t>
            </w:r>
          </w:p>
        </w:tc>
        <w:tc>
          <w:tcPr>
            <w:tcW w:type="dxa" w:w="3289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Değer</w:t>
            </w:r>
          </w:p>
        </w:tc>
        <w:tc>
          <w:tcPr>
            <w:tcW w:type="dxa" w:w="3289"/>
            <w:shd w:fill="1B4F72" w:val="clear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i w:val="0"/>
                <w:color w:val="FFFFFF"/>
                <w:sz w:val="16"/>
              </w:rPr>
              <w:t>Yorum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Recall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%95.9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Kritik usul hatalarının yakalanma oranı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FPR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%0.9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Yanlış alarm – usul ekonomisini korur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F1 / Precision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%95.6 / %95.3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Denge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nDCG@5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0.58 (+%87)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Emsal sıralama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Emsal süresi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~8 sn vs ~12 dk</w:t>
            </w:r>
          </w:p>
        </w:tc>
        <w:tc>
          <w:tcPr>
            <w:tcW w:type="dxa" w:w="3289"/>
          </w:tcPr>
          <w:p>
            <w:r>
              <w:rPr>
                <w:rFonts w:ascii="Arial" w:hAnsi="Arial" w:cs="Arial"/>
                <w:rFonts w:ascii="Arial" w:hAnsi="Arial"/>
                <w:b w:val="0"/>
                <w:i w:val="0"/>
                <w:sz w:val="16"/>
              </w:rPr>
              <w:t>Dramatik</w:t>
            </w:r>
          </w:p>
        </w:tc>
      </w:tr>
    </w:tbl>
    <w:p/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Recall bilinçli olarak Precision’dan yüksek tutulmuştur. Hukukta hatayı kaçırmak (Tip II), yanlış uyarıdan (Tip I) daha ağırdır.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8. ETİK, KVKK, CEPEJ, GÜVENLİK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AB AI Act yüksek riskli sistem kontrol listesi (risk yönetimi, veri kalitesi, teknik dokümantasyon, kayıt, şeffaflık, insan denetimi, doğruluk/güvenlik) karşılanmıştır. CEPEJ beş ilkesi mimariye gömülüdür. KVKK: maskeleme, lokalizasyon, on-premise, RBAC. Güvenlik: TLS 1.3, AES-256, HSM, SHA-256 append-only audit (7 yıl).</w:t>
      </w:r>
    </w:p>
    <w:p>
      <w:r>
        <w:br w:type="page"/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9. EKONOMİK / SOSYAL ETKİ ÖZETİ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Yıllık sosyal fayda tahmini (hâkim zamanı, bozma azalması, avukat emsal süresi, erişim hızı) milyar TL mertebesindedir. Detay ana tez eklerindedir.</w:t>
      </w:r>
    </w:p>
    <w:p>
      <w:pPr>
        <w:pStyle w:val="Heading1"/>
      </w:pPr>
      <w:r>
        <w:rPr>
          <w:rFonts w:ascii="Arial" w:hAnsi="Arial" w:cs="Arial"/>
          <w:rFonts w:ascii="Arial" w:hAnsi="Arial"/>
          <w:b/>
          <w:i w:val="0"/>
          <w:color w:val="0D2137"/>
          <w:sz w:val="26"/>
        </w:rPr>
        <w:t>10. SOMUT ÖNERİ VE KAPANIŞ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1. Hemen: Faz 0 teknik çalışma grubu + kaynak (etik, KVKK, veri, HukukBERT).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2. Pilot: Trafik + Tüketici; Burdur / Isparta / Bolu; 6–12 ay.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3. Omurga: NumPy lineer nöron + HukukBERT + RAG + Hard-Stop/Soft-Alert.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4. Ölçüm: KPI + ara rapor + go/no-go → kademeli yaygınlaştırma.</w:t>
      </w:r>
    </w:p>
    <w:p>
      <w:pPr>
        <w:spacing w:after="100" w:line="259" w:lineRule="auto"/>
        <w:jc w:val="both"/>
      </w:pPr>
      <w:r>
        <w:rPr>
          <w:rFonts w:ascii="Arial" w:hAnsi="Arial" w:cs="Arial"/>
          <w:rFonts w:ascii="Arial" w:hAnsi="Arial"/>
          <w:b w:val="0"/>
          <w:i w:val="0"/>
          <w:sz w:val="20"/>
        </w:rPr>
        <w:t>5. İlke: UYAP’ı bozma; yanına akıllı, denetlenebilir katman ekle. Hâkim son sözü söyler.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/>
          <w:sz w:val="20"/>
        </w:rPr>
        <w:t>“Adalet, yalnızca algoritmaların değil, vicdanların da işidir. Ancak vicdanların hata yapmaması için sistemin doğru çalışması şart.”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/>
          <w:i w:val="0"/>
          <w:sz w:val="20"/>
        </w:rPr>
        <w:t>— SUNUM DOKÜMANI SONU —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 w:val="0"/>
          <w:sz w:val="16"/>
        </w:rPr>
        <w:t>Mehmet ALBAYRAK · 20251556001 · mehmet.albayrak@nisantasi.edu.tr · lawai.tr</w:t>
      </w:r>
    </w:p>
    <w:p>
      <w:pPr>
        <w:spacing w:after="100" w:line="259" w:lineRule="auto"/>
        <w:jc w:val="center"/>
      </w:pPr>
      <w:r>
        <w:rPr>
          <w:rFonts w:ascii="Arial" w:hAnsi="Arial" w:cs="Arial"/>
          <w:rFonts w:ascii="Arial" w:hAnsi="Arial"/>
          <w:b w:val="0"/>
          <w:i w:val="0"/>
          <w:sz w:val="16"/>
        </w:rPr>
        <w:t>Nişantaşı Üniversitesi · Yapay Zekâ Yüksek Lisans · Eylül 2026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