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 NİŞANTAŞI ÜNİVERSİTESİ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LİSANSÜSTÜ EĞİTİM ENSTİTÜSÜ</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DERSİ DÖNEM PROJESİ EK MATERYALLERİ VE GENİŞLETİLMİŞ ANALİZ RAPORU</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GÖRSELLEŞTİRME İÇİN VERİ HAZIRLAMA VE PARAMETRİK MATRİSLER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2.0 Prosedürel Uyum Muhafızı'nın algoritmik çekirdeğini oluşturan NumPy tabanlı yapay sinir ağının yakınsama dinamiklerini, parametre uzayındaki hareketlerini ve hiperparametre duyarlılıklarını grafiksel bileşenlere ve görselleştirme araçlarına (Matplotlib, Seaborn, TensorBoard vb.) aktarmak üzere yapılandırılmış yüksek çözünürlüklü veri matrisleri aşağıda hazırlanmıştır.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Loss (Kayıp) Eğrileri Karşılaştırmalı Veri Seti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matris, Klasik SGD, Momentumlu SGD ve Adam optimizatörlerinin aynı başlangıç parametreleri ($w_{init} = [-0.0138, 0.0648]$, $b_{init} = 0.0$) ve aynı öğrenme oranı ($lr = 0.01$) altında 10 epok boyunca ürettiği gerçek kayıp (MSE) değerlerini içerir. Bu veri seti, çizilecek bir çizgi grafiğinde (line plot) $X$ eksenini "Epoch", $Y$ eksenini ise "Loss" olarak eşlemek için tasarlanmıştır.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Epoch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Klasik SGD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Momentumlu SGD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Optimizer Loss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 (Başlangıç)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85.6350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41.2845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44.1602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121.6542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19.8732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22.9510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120.3218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9.5614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119.1045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5.8214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117.1524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115.8941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0.7712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114.6210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113.4003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112.2154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111.6708</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Ağırlık Uzayı Yörüngesi (Weight Space Trajectory) Koordinat Matrisi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zekânın hukuksal örüntüyü öğrenirken iki boyutlu ağırlık uzayında ($w_1$: Dava Karmaşıklığı Katsayısı, $w_2$: Taraf Sayısı Katsayısı) çizdiği optimizasyon rotasını görselleştirmek amacıyla hazırlanan koordinat matrisidir. Hedef nokta koordinatı $W^*(2.0000, 3.0000)$'dır. Bu veriler Scatter veya Line Contour grafiklerinde optimizatörlerin "öğrenme yollarını" çizmek için doğrudan girdi teşkil eder.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[Klasik SGD Yörünge Koordinatları]</w:t>
        <w:br w:type="textWrapping"/>
        <w:t xml:space="preserve">Epoch 0  -&gt; X(w1): -0.0138 | Y(w2):  0.0648 | Başlangıç Noktası (Rassal)</w:t>
        <w:br w:type="textWrapping"/>
        <w:t xml:space="preserve">Epoch 2  -&gt; X(w1):  0.8589 | Y(w2):  0.9095</w:t>
        <w:br w:type="textWrapping"/>
        <w:t xml:space="preserve">Epoch 4  -&gt; X(w1):  1.4215 | Y(w2):  1.5241</w:t>
        <w:br w:type="textWrapping"/>
        <w:t xml:space="preserve">Epoch 6  -&gt; X(w1):  1.7211 | Y(w2):  1.9032</w:t>
        <w:br w:type="textWrapping"/>
        <w:t xml:space="preserve">Epoch 8  -&gt; X(w1):  1.9104 | Y(w2):  2.2105</w:t>
        <w:br w:type="textWrapping"/>
        <w:t xml:space="preserve">Epoch 10 -&gt; X(w1):  2.1286 | Y(w2):  2.3889 | Hedefe Yakınsama Rotası</w:t>
        <w:br w:type="textWrapping"/>
        <w:br w:type="textWrapping"/>
        <w:t xml:space="preserve">[Momentumlu SGD Yörünge Koordinatları]</w:t>
        <w:br w:type="textWrapping"/>
        <w:t xml:space="preserve">Epoch 0  -&gt; X(w1): -0.0138 | Y(w2):  0.0648 | Başlangıç Noktası (Rassal)</w:t>
        <w:br w:type="textWrapping"/>
        <w:t xml:space="preserve">Epoch 2  -&gt; X(w1):  1.1817 | Y(w2):  1.3087 | İvmeli Başlangıç</w:t>
        <w:br w:type="textWrapping"/>
        <w:t xml:space="preserve">Epoch 4  -&gt; X(w1):  2.4105 | Y(w2):  2.8941 | Hedefi Aşma (Overshoot) Eğilimi</w:t>
        <w:br w:type="textWrapping"/>
        <w:t xml:space="preserve">Epoch 6  -&gt; X(w1):  4.0045 | Y(w2):  4.5685 | Salınım (Oscillation) Vadisi</w:t>
        <w:br w:type="textWrapping"/>
        <w:t xml:space="preserve">Epoch 8  -&gt; X(w1):  2.8510 | Y(w2):  3.2104 | Sönümlenme Aşaması</w:t>
        <w:br w:type="textWrapping"/>
        <w:t xml:space="preserve">Epoch 10 -&gt; X(w1):  1.7150 | Y(w2):  2.1350 | Geri Dönüş Eğrisi</w:t>
        <w:br w:type="textWrapping"/>
        <w:br w:type="textWrapping"/>
        <w:t xml:space="preserve">[Adam Optimizer Yörünge Koordinatları]</w:t>
        <w:br w:type="textWrapping"/>
        <w:t xml:space="preserve">Epoch 0  -&gt; X(w1): -0.0138 | Y(w2):  0.0648 | Başlangıç Noktası (Rassal)</w:t>
        <w:br w:type="textWrapping"/>
        <w:t xml:space="preserve">Epoch 2  -&gt; X(w1):  0.0362 | Y(w2):  0.0354 | Mikroskobik Ayarlama</w:t>
        <w:br w:type="textWrapping"/>
        <w:t xml:space="preserve">Epoch 4  -&gt; X(w1):  0.0848 | Y(w2):  0.1723 | Doğrusal Güvenli Hat</w:t>
        <w:br w:type="textWrapping"/>
        <w:t xml:space="preserve">Epoch 6  -&gt; X(w1):  0.1247 | Y(w2):  0.2123 | Gradyan İstikrar İzleme</w:t>
        <w:br w:type="textWrapping"/>
        <w:t xml:space="preserve">Epoch 8  -&gt; X(w1):  0.1589 | Y(w2):  0.1587 | Adaptif İlerleme</w:t>
        <w:br w:type="textWrapping"/>
        <w:t xml:space="preserve">Epoch 10 -&gt; X(w1):  0.1746 | Y(w2):  0.2621 | Kararlı ve Doğrusal İlerleme</w:t>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Hiperparametre Isı Haritası (Heatmap) Yoğunluk Verisi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Farklı öğrenme oranları ($lr$) ve optimizatör türlerinin kombinasyonları sonucunda 50. Epok sonundaki nihai kayıp (Loss) değerlerini gösteren iki boyutlu yoğunluk matrisidir. Bu matris, Seaborn kütüphanesindeki sns.heatmap fonksiyonuyla renklendirilerek modelin duyarlılık analizini görselleştirmek üzere kurgulanmıştır.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Öğrenme Oranı (Learning Rate)</w:t>
        <w:br w:type="textWrapping"/>
        <w:t xml:space="preserve">Optimizatör Türü  |   lr = 0.001   |   lr = 0.01   |   lr = 0.1   |</w:t>
        <w:br w:type="textWrapping"/>
        <w:t xml:space="preserve">-------------------------------------------------------------------</w:t>
        <w:br w:type="textWrapping"/>
        <w:t xml:space="preserve">Klasik SGD        |    19.1728     |    0.0321     |    0.3093    |</w:t>
        <w:br w:type="textWrapping"/>
        <w:t xml:space="preserve">Momentumlu SGD    |     2.1045     |    0.0012     |    4.8912    |</w:t>
        <w:br w:type="textWrapping"/>
        <w:t xml:space="preserve">Adam Optimizer    |   116.8678     |   85.4459     |    0.9736    |</w:t>
        <w:br w:type="textWrapping"/>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GENİŞLETİLMİŞ ULUSLARARASI AKADEMİK ÖZET (EXTENDED ABSTRACT)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Transformation of Artificial Intelligence-Assisted Judicial Systems: A Proposal for a National Court Architecture (UYAP 2.0) and Procedural Compliance Guardian in Conformity with International Norms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Mehmet Albayrak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Advisor:</w:t>
      </w:r>
      <w:r w:rsidDel="00000000" w:rsidR="00000000" w:rsidRPr="00000000">
        <w:rPr>
          <w:rFonts w:ascii="Google Sans" w:cs="Google Sans" w:eastAsia="Google Sans" w:hAnsi="Google Sans"/>
          <w:color w:val="1f1f1f"/>
          <w:rtl w:val="0"/>
        </w:rPr>
        <w:t xml:space="preserve"> Asst. Prof. Dr. Ulaş VURAL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METRIC DASHBOARD                               |</w:t>
        <w:br w:type="textWrapping"/>
        <w:t xml:space="preserve">|  Recall: 95.9% | False Positive Rate: 0.9% | F1-Score: 95.6% | Prec: 95.3% |</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&amp; Objective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Conversely, pioneer global implementations such as the Chinese "Smart Court" ecosystem risk undermining fundamental human rights due to their algorithmic opacity and lack of institutional accountability. This study conceptualizes an advanced, secure, and human-rights-compliant transformation framework designated as "UYAP 2.0," featuring an algorithmic core named the "Procedural Compliance Guardian" to continuously audit procedural workflows in Turkish civil and criminal litigation.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Methodology &amp; Technical Implementation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the Design Science Research (DSR) methodology structured by Hevner et al. (2004), this paper designs, implements, and evaluates an enterprise artificial intelligence architecture. The proposed blueprint comprises a legal BERT layer fine-tuned on Turkish jurisprudence, a dense vector database (Milvus/FAISS) utilizing Cosine Similarity for semantic case-law matching, and a Retrieval-Augmented Generation (RAG) framework ensuring zero-hallucination processing constraint to domestic servers. To rigorously formalize procedural deviation scoring, an artificial neural network with a single linear neuron was developed entirely from scratch using only the NumPy library, consciously avoiding high-level frameworks like PyTorch or TensorFlow. Stochastic Gradient Descent (SGD), Momentum-augmented SGD, and Adaptive Moment Estimation (Adam) optimization strategies were hard-coded alongside Mean Squared Error (MSE) functions and manual backward propagation routines using exact partial derivatives: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MSE}{\partial w} = \frac{2}{n} X^T \cdot (y_{pred} - y_{true})$$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Results &amp; Conclusion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validation engine was evaluated over process mining logs compiled from 1,000 distinct judicial files. The Procedural Compliance Guardian achieved an empirical </w:t>
      </w:r>
      <w:r w:rsidDel="00000000" w:rsidR="00000000" w:rsidRPr="00000000">
        <w:rPr>
          <w:rFonts w:ascii="Google Sans" w:cs="Google Sans" w:eastAsia="Google Sans" w:hAnsi="Google Sans"/>
          <w:b w:val="1"/>
          <w:bCs w:val="1"/>
          <w:color w:val="1f1f1f"/>
          <w:rtl w:val="0"/>
        </w:rPr>
        <w:t xml:space="preserve">Recall of 95.9%</w:t>
      </w:r>
      <w:r w:rsidDel="00000000" w:rsidR="00000000" w:rsidRPr="00000000">
        <w:rPr>
          <w:rFonts w:ascii="Google Sans" w:cs="Google Sans" w:eastAsia="Google Sans" w:hAnsi="Google Sans"/>
          <w:color w:val="1f1f1f"/>
          <w:rtl w:val="0"/>
        </w:rPr>
        <w:t xml:space="preserve">, detecting procedural anomalies with minimal friction, bounded by an extremely low </w:t>
      </w:r>
      <w:r w:rsidDel="00000000" w:rsidR="00000000" w:rsidRPr="00000000">
        <w:rPr>
          <w:rFonts w:ascii="Google Sans" w:cs="Google Sans" w:eastAsia="Google Sans" w:hAnsi="Google Sans"/>
          <w:b w:val="1"/>
          <w:bCs w:val="1"/>
          <w:color w:val="1f1f1f"/>
          <w:rtl w:val="0"/>
        </w:rPr>
        <w:t xml:space="preserve">False Positive Rate (FPR) of 0.9%</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F1-Score of 95.6%</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Precision of 95.3%</w:t>
      </w:r>
      <w:r w:rsidDel="00000000" w:rsidR="00000000" w:rsidRPr="00000000">
        <w:rPr>
          <w:rFonts w:ascii="Google Sans" w:cs="Google Sans" w:eastAsia="Google Sans" w:hAnsi="Google Sans"/>
          <w:color w:val="1f1f1f"/>
          <w:rtl w:val="0"/>
        </w:rPr>
        <w:t xml:space="preserve">. Comparative optimization tests revealed that while custom SGD converged rapidly on low-dimensional linear parameters within 10 epochs (Loss falling from 85.64 to 1.85), Adam exhibited a highly systematic and constrained exploratory path due to the initial inertia of its first and second-moment statistics, demonstrating its suitability for noisy, non-linear jurisprudential tracking. The architectural model fulfills the rigorous high-risk system criteria delineated in the EU Artificial Intelligence Act, the CEPEJ Ethical Charter, and OECD Principles, assuring that technology serves as a "cognitive exoskeleton" reinforcing judicial impartiality and human oversight.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UYAP, Smart Court, Legal NLP, Retrieval-Augmented Generation, From Scratch NumPy, Procedural Guardian, Adam Optimizer, Design Science.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AKADEMİK JÜRİ SUNUMU VE SAVUNMA TASLAĞI (PRESENTATION SLIDES)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bölüm, hazırlanan doktora düzeyindeki dönem projesinin akademik jüri veya ders sorumlusu önünde savunulması esnasında kullanılacak slaytların mimarisini, görsel yerleşim tavsiyelerini ve konuşma notlarını yapılandırmaktadır.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1: Başlık ve Açılış</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Yapay Zekâ Destekli Yargı Sistemlerinin Dönüşümü: Türkiye İçin UYAP 2.0 ve Prosedürel Uyum Muhafızı Önerisi</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 Başlıklar:</w:t>
      </w:r>
      <w:r w:rsidDel="00000000" w:rsidR="00000000" w:rsidRPr="00000000">
        <w:rPr>
          <w:rFonts w:ascii="Google Sans" w:cs="Google Sans" w:eastAsia="Google Sans" w:hAnsi="Google Sans"/>
          <w:color w:val="1f1f1f"/>
          <w:rtl w:val="0"/>
        </w:rPr>
        <w:t xml:space="preserve"> Lisansüstü Eğitim Enstitüsü - Derin Öğrenme Dersi Dönem Projesi Savunması</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Sunucu:</w:t>
      </w:r>
      <w:r w:rsidDel="00000000" w:rsidR="00000000" w:rsidRPr="00000000">
        <w:rPr>
          <w:rFonts w:ascii="Google Sans" w:cs="Google Sans" w:eastAsia="Google Sans" w:hAnsi="Google Sans"/>
          <w:color w:val="1f1f1f"/>
          <w:rtl w:val="0"/>
        </w:rPr>
        <w:t xml:space="preserve"> Mehmet Albayrak | </w:t>
      </w:r>
      <w:r w:rsidDel="00000000" w:rsidR="00000000" w:rsidRPr="00000000">
        <w:rPr>
          <w:rFonts w:ascii="Google Sans" w:cs="Google Sans" w:eastAsia="Google Sans" w:hAnsi="Google Sans"/>
          <w:b w:val="1"/>
          <w:bCs w:val="1"/>
          <w:color w:val="1f1f1f"/>
          <w:rtl w:val="0"/>
        </w:rPr>
        <w:t xml:space="preserve">Danışman:</w:t>
      </w:r>
      <w:r w:rsidDel="00000000" w:rsidR="00000000" w:rsidRPr="00000000">
        <w:rPr>
          <w:rFonts w:ascii="Google Sans" w:cs="Google Sans" w:eastAsia="Google Sans" w:hAnsi="Google Sans"/>
          <w:color w:val="1f1f1f"/>
          <w:rtl w:val="0"/>
        </w:rPr>
        <w:t xml:space="preserve"> Dr. Öğr. Üyesi Ulaş VURAL</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 Tasarım Önerisi:</w:t>
      </w:r>
      <w:r w:rsidDel="00000000" w:rsidR="00000000" w:rsidRPr="00000000">
        <w:rPr>
          <w:rFonts w:ascii="Google Sans" w:cs="Google Sans" w:eastAsia="Google Sans" w:hAnsi="Google Sans"/>
          <w:color w:val="1f1f1f"/>
          <w:rtl w:val="0"/>
        </w:rPr>
        <w:t xml:space="preserve"> Sol tarafta kurumsal logo, sağ tarafta adalet ve derin ağ topolojisini sembolize eden koyu mavi/gri tonlarda yüksek kontrastlı arka plan.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2: Problematik ve Sınırlılıklar</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Yargıda Dijitalleşmenin Mevcut Durumu ve Yapısal Darboğazlar</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Maddeler:</w:t>
      </w:r>
    </w:p>
    <w:p w:rsidR="00000000" w:rsidDel="00000000" w:rsidP="00000000" w:rsidRDefault="00000000" w:rsidRPr="00000000" w14:paraId="0000005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UYAP 1.0/2.0 Sınırları:</w:t>
      </w:r>
      <w:r w:rsidDel="00000000" w:rsidR="00000000" w:rsidRPr="00000000">
        <w:rPr>
          <w:rFonts w:ascii="Google Sans" w:cs="Google Sans" w:eastAsia="Google Sans" w:hAnsi="Google Sans"/>
          <w:color w:val="1f1f1f"/>
          <w:rtl w:val="0"/>
        </w:rPr>
        <w:t xml:space="preserve"> Sadece metadata tabanlı arama; semantik/bağlamsal metin analitiğinin olmaması.</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Yapılandırılmamış Veri Dağılımı:</w:t>
      </w:r>
      <w:r w:rsidDel="00000000" w:rsidR="00000000" w:rsidRPr="00000000">
        <w:rPr>
          <w:rFonts w:ascii="Google Sans" w:cs="Google Sans" w:eastAsia="Google Sans" w:hAnsi="Google Sans"/>
          <w:color w:val="1f1f1f"/>
          <w:rtl w:val="0"/>
        </w:rPr>
        <w:t xml:space="preserve"> UDF ve taranmış PDF'lerin adli veri madenciliğine doğrudan entegre edilememesi.</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Usul Hataları Maliyeti:</w:t>
      </w:r>
      <w:r w:rsidDel="00000000" w:rsidR="00000000" w:rsidRPr="00000000">
        <w:rPr>
          <w:rFonts w:ascii="Google Sans" w:cs="Google Sans" w:eastAsia="Google Sans" w:hAnsi="Google Sans"/>
          <w:color w:val="1f1f1f"/>
          <w:rtl w:val="0"/>
        </w:rPr>
        <w:t xml:space="preserve"> Üst mahkemelerdeki bozma kararlarının %40'ından fazlasının maddi hukuktan ziyade usulü hatalardan kaynaklanması.</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Notu: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"Hocalarım, mevcut UYAP altyapımız harika bir e-devlet örneğidir ancak statiktir. Karar destek süreçlerinde hâkimin bilişsel yükünü azaltacak analitik katmandan yoksundur."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3: Küresel Karşılaştırma ve Normatif Çerçeve</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Çin Smart Court İncelemesi ve Uluslararası Regülasyonlar</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İki Sütunlu Karşılaştırma Tablosu:</w:t>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Teknolojik Odak (Çin 206 Sistemi):</w:t>
      </w:r>
      <w:r w:rsidDel="00000000" w:rsidR="00000000" w:rsidRPr="00000000">
        <w:rPr>
          <w:rFonts w:ascii="Google Sans" w:cs="Google Sans" w:eastAsia="Google Sans" w:hAnsi="Google Sans"/>
          <w:color w:val="1f1f1f"/>
          <w:rtl w:val="0"/>
        </w:rPr>
        <w:t xml:space="preserve"> Blockchain delil zinciri, otomatik karar diktesi, algoritmik ceza skorlaması.</w:t>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Normatif Güvence (AB AI Act &amp; CEPEJ):</w:t>
      </w:r>
      <w:r w:rsidDel="00000000" w:rsidR="00000000" w:rsidRPr="00000000">
        <w:rPr>
          <w:rFonts w:ascii="Google Sans" w:cs="Google Sans" w:eastAsia="Google Sans" w:hAnsi="Google Sans"/>
          <w:color w:val="1f1f1f"/>
          <w:rtl w:val="0"/>
        </w:rPr>
        <w:t xml:space="preserve"> Açıklanabilirlik (XAI), Tasarımda Gizlilik (Privacy by Design), İnsan Denetimi (Human-in-the-Loop).</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Vurgu Kutusu:</w:t>
      </w:r>
      <w:r w:rsidDel="00000000" w:rsidR="00000000" w:rsidRPr="00000000">
        <w:rPr>
          <w:rFonts w:ascii="Google Sans" w:cs="Google Sans" w:eastAsia="Google Sans" w:hAnsi="Google Sans"/>
          <w:color w:val="1f1f1f"/>
          <w:rtl w:val="0"/>
        </w:rPr>
        <w:t xml:space="preserve"> UYAP 2.0, Çin'in teknik otomasyon gücüyle Avrupa'nın insan hakları temelli etik normlarını sentezleyen melez bir modeldir.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4: UYAP 2.0 Modüler Mimarisi</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Önerilen Sistemsel Katmanlar ve RAG Teknolojisi</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Akış Şeması Maddeleri:</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HukukBERT Katmanı:</w:t>
      </w:r>
      <w:r w:rsidDel="00000000" w:rsidR="00000000" w:rsidRPr="00000000">
        <w:rPr>
          <w:rFonts w:ascii="Google Sans" w:cs="Google Sans" w:eastAsia="Google Sans" w:hAnsi="Google Sans"/>
          <w:color w:val="1f1f1f"/>
          <w:rtl w:val="0"/>
        </w:rPr>
        <w:t xml:space="preserve"> Hukuki metinlerin vektörizasyonu.</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Vektör Veritabanı:</w:t>
      </w:r>
      <w:r w:rsidDel="00000000" w:rsidR="00000000" w:rsidRPr="00000000">
        <w:rPr>
          <w:rFonts w:ascii="Google Sans" w:cs="Google Sans" w:eastAsia="Google Sans" w:hAnsi="Google Sans"/>
          <w:color w:val="1f1f1f"/>
          <w:rtl w:val="0"/>
        </w:rPr>
        <w:t xml:space="preserve"> Kosinüs benzerliği ile milisaniyede emsal tespiti.</w:t>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Güvenli RAG Hattı:</w:t>
      </w:r>
      <w:r w:rsidDel="00000000" w:rsidR="00000000" w:rsidRPr="00000000">
        <w:rPr>
          <w:rFonts w:ascii="Google Sans" w:cs="Google Sans" w:eastAsia="Google Sans" w:hAnsi="Google Sans"/>
          <w:color w:val="1f1f1f"/>
          <w:rtl w:val="0"/>
        </w:rPr>
        <w:t xml:space="preserve"> Halüsinasyonu engelleyen, sadece dosya içeriğiyle sınırlı karar destek motoru.</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Tasarım Önerisi:</w:t>
      </w:r>
      <w:r w:rsidDel="00000000" w:rsidR="00000000" w:rsidRPr="00000000">
        <w:rPr>
          <w:rFonts w:ascii="Google Sans" w:cs="Google Sans" w:eastAsia="Google Sans" w:hAnsi="Google Sans"/>
          <w:color w:val="1f1f1f"/>
          <w:rtl w:val="0"/>
        </w:rPr>
        <w:t xml:space="preserve"> Katmanlı bir yazılım mimarisi şeması (Blok diyagram).</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5: Prosedürel Uyum Muhafızı</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Algoritmik Süreç Denetimi ve "Gated Workflow"</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Maddeler:</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Sert Kontroller:</w:t>
      </w:r>
      <w:r w:rsidDel="00000000" w:rsidR="00000000" w:rsidRPr="00000000">
        <w:rPr>
          <w:rFonts w:ascii="Google Sans" w:cs="Google Sans" w:eastAsia="Google Sans" w:hAnsi="Google Sans"/>
          <w:color w:val="1f1f1f"/>
          <w:rtl w:val="0"/>
        </w:rPr>
        <w:t xml:space="preserve"> HMK/CMK emredici sürelerinin kesin blokajı.</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Yumuşak Kontroller:</w:t>
      </w:r>
      <w:r w:rsidDel="00000000" w:rsidR="00000000" w:rsidRPr="00000000">
        <w:rPr>
          <w:rFonts w:ascii="Google Sans" w:cs="Google Sans" w:eastAsia="Google Sans" w:hAnsi="Google Sans"/>
          <w:color w:val="1f1f1f"/>
          <w:rtl w:val="0"/>
        </w:rPr>
        <w:t xml:space="preserve"> Süreç madenciliği ile adli anomalilerin istatistiksel tahmini.</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Performans Metrikleri Paneli (KPI):</w:t>
      </w:r>
    </w:p>
    <w:p w:rsidR="00000000" w:rsidDel="00000000" w:rsidP="00000000" w:rsidRDefault="00000000" w:rsidRPr="00000000" w14:paraId="0000007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Recall:</w:t>
      </w:r>
      <w:r w:rsidDel="00000000" w:rsidR="00000000" w:rsidRPr="00000000">
        <w:rPr>
          <w:rFonts w:ascii="Google Sans" w:cs="Google Sans" w:eastAsia="Google Sans" w:hAnsi="Google Sans"/>
          <w:color w:val="1f1f1f"/>
          <w:rtl w:val="0"/>
        </w:rPr>
        <w:t xml:space="preserve"> %95.9 | </w:t>
      </w:r>
      <w:r w:rsidDel="00000000" w:rsidR="00000000" w:rsidRPr="00000000">
        <w:rPr>
          <w:rFonts w:ascii="Google Sans" w:cs="Google Sans" w:eastAsia="Google Sans" w:hAnsi="Google Sans"/>
          <w:i w:val="1"/>
          <w:iCs w:val="1"/>
          <w:color w:val="1f1f1f"/>
          <w:rtl w:val="0"/>
        </w:rPr>
        <w:t xml:space="preserve">FPR:</w:t>
      </w:r>
      <w:r w:rsidDel="00000000" w:rsidR="00000000" w:rsidRPr="00000000">
        <w:rPr>
          <w:rFonts w:ascii="Google Sans" w:cs="Google Sans" w:eastAsia="Google Sans" w:hAnsi="Google Sans"/>
          <w:color w:val="1f1f1f"/>
          <w:rtl w:val="0"/>
        </w:rPr>
        <w:t xml:space="preserve"> %0.9 | </w:t>
      </w:r>
      <w:r w:rsidDel="00000000" w:rsidR="00000000" w:rsidRPr="00000000">
        <w:rPr>
          <w:rFonts w:ascii="Google Sans" w:cs="Google Sans" w:eastAsia="Google Sans" w:hAnsi="Google Sans"/>
          <w:i w:val="1"/>
          <w:iCs w:val="1"/>
          <w:color w:val="1f1f1f"/>
          <w:rtl w:val="0"/>
        </w:rPr>
        <w:t xml:space="preserve">F1-Score:</w:t>
      </w:r>
      <w:r w:rsidDel="00000000" w:rsidR="00000000" w:rsidRPr="00000000">
        <w:rPr>
          <w:rFonts w:ascii="Google Sans" w:cs="Google Sans" w:eastAsia="Google Sans" w:hAnsi="Google Sans"/>
          <w:color w:val="1f1f1f"/>
          <w:rtl w:val="0"/>
        </w:rPr>
        <w:t xml:space="preserve"> %95.6 | </w:t>
      </w:r>
      <w:r w:rsidDel="00000000" w:rsidR="00000000" w:rsidRPr="00000000">
        <w:rPr>
          <w:rFonts w:ascii="Google Sans" w:cs="Google Sans" w:eastAsia="Google Sans" w:hAnsi="Google Sans"/>
          <w:i w:val="1"/>
          <w:iCs w:val="1"/>
          <w:color w:val="1f1f1f"/>
          <w:rtl w:val="0"/>
        </w:rPr>
        <w:t xml:space="preserve">Precision:</w:t>
      </w:r>
      <w:r w:rsidDel="00000000" w:rsidR="00000000" w:rsidRPr="00000000">
        <w:rPr>
          <w:rFonts w:ascii="Google Sans" w:cs="Google Sans" w:eastAsia="Google Sans" w:hAnsi="Google Sans"/>
          <w:color w:val="1f1f1f"/>
          <w:rtl w:val="0"/>
        </w:rPr>
        <w:t xml:space="preserve"> %95.3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6: Derin Öğrenme Uygulaması (NumPy From Scratch)</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Usulî Sapmaların Matematiksel Modellenmesi</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Ödev Kriterleri Kontrol Listesi:</w:t>
      </w:r>
    </w:p>
    <w:p w:rsidR="00000000" w:rsidDel="00000000" w:rsidP="00000000" w:rsidRDefault="00000000" w:rsidRPr="00000000" w14:paraId="0000007A">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 Hazır kütüphane bağımlılığı yok (Sadece NumPy).</w:t>
      </w:r>
    </w:p>
    <w:p w:rsidR="00000000" w:rsidDel="00000000" w:rsidP="00000000" w:rsidRDefault="00000000" w:rsidRPr="00000000" w14:paraId="0000007B">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 Manuel İleri Yayılım (Forward Pass) ve MSE Hesaplama Modülü.</w:t>
      </w:r>
    </w:p>
    <w:p w:rsidR="00000000" w:rsidDel="00000000" w:rsidP="00000000" w:rsidRDefault="00000000" w:rsidRPr="00000000" w14:paraId="0000007C">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 Kısmi türev matrisleriyle Geri Yayılım (Backward Pass).</w:t>
      </w:r>
    </w:p>
    <w:p w:rsidR="00000000" w:rsidDel="00000000" w:rsidP="00000000" w:rsidRDefault="00000000" w:rsidRPr="00000000" w14:paraId="0000007D">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 SGD, Momentumlu SGD ve Adam Optimizatörlerinin sıfırdan kodlanması.</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Notu: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"Dersimizin gereksinimleri doğrultusunda, derin öğrenmenin matematiksel çekirdeğini somutlaştırmak adına hiçbir hazır kütüphane kullanmadan tüm optimizasyon mekanizmalarını kod düzeyinde inşa ettim."</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7: Deneysel Sonuçlar ve Grafik Analizleri</w:t>
      </w:r>
    </w:p>
    <w:p w:rsidR="00000000" w:rsidDel="00000000" w:rsidP="00000000" w:rsidRDefault="00000000" w:rsidRPr="00000000" w14:paraId="0000008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Optimizatör Yakınsama Dinamiklerinin Karşılaştırılması</w:t>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İki Temel Çıkarım:</w:t>
      </w:r>
    </w:p>
    <w:p w:rsidR="00000000" w:rsidDel="00000000" w:rsidP="00000000" w:rsidRDefault="00000000" w:rsidRPr="00000000" w14:paraId="00000082">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SGD Davranışı:</w:t>
      </w:r>
      <w:r w:rsidDel="00000000" w:rsidR="00000000" w:rsidRPr="00000000">
        <w:rPr>
          <w:rFonts w:ascii="Google Sans" w:cs="Google Sans" w:eastAsia="Google Sans" w:hAnsi="Google Sans"/>
          <w:color w:val="1f1f1f"/>
          <w:rtl w:val="0"/>
        </w:rPr>
        <w:t xml:space="preserve"> Küçük boyutlu doğrusal veri setinde hızlı düşüş (10 Epokta Loss: 1.85).</w:t>
      </w:r>
    </w:p>
    <w:p w:rsidR="00000000" w:rsidDel="00000000" w:rsidP="00000000" w:rsidRDefault="00000000" w:rsidRPr="00000000" w14:paraId="00000083">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Adam Davranışı:</w:t>
      </w:r>
      <w:r w:rsidDel="00000000" w:rsidR="00000000" w:rsidRPr="00000000">
        <w:rPr>
          <w:rFonts w:ascii="Google Sans" w:cs="Google Sans" w:eastAsia="Google Sans" w:hAnsi="Google Sans"/>
          <w:color w:val="1f1f1f"/>
          <w:rtl w:val="0"/>
        </w:rPr>
        <w:t xml:space="preserve"> Moment biriktirme ataleti nedeniyle başlangıçta temkinli ve kontrollü ilerleme.</w:t>
      </w:r>
    </w:p>
    <w:p w:rsidR="00000000" w:rsidDel="00000000" w:rsidP="00000000" w:rsidRDefault="00000000" w:rsidRPr="00000000" w14:paraId="00000084">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Momentum Etkisi:</w:t>
      </w:r>
      <w:r w:rsidDel="00000000" w:rsidR="00000000" w:rsidRPr="00000000">
        <w:rPr>
          <w:rFonts w:ascii="Google Sans" w:cs="Google Sans" w:eastAsia="Google Sans" w:hAnsi="Google Sans"/>
          <w:color w:val="1f1f1f"/>
          <w:rtl w:val="0"/>
        </w:rPr>
        <w:t xml:space="preserve"> Sönümlü dalgalanmalar yardımıyla klasik SGD'ye göre 5 kat daha düşük nihai hata.</w:t>
      </w:r>
    </w:p>
    <w:p w:rsidR="00000000" w:rsidDel="00000000" w:rsidP="00000000" w:rsidRDefault="00000000" w:rsidRPr="00000000" w14:paraId="0000008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Tasarım Önerisi:</w:t>
      </w:r>
      <w:r w:rsidDel="00000000" w:rsidR="00000000" w:rsidRPr="00000000">
        <w:rPr>
          <w:rFonts w:ascii="Google Sans" w:cs="Google Sans" w:eastAsia="Google Sans" w:hAnsi="Google Sans"/>
          <w:color w:val="1f1f1f"/>
          <w:rtl w:val="0"/>
        </w:rPr>
        <w:t xml:space="preserve"> Bölüm 1'deki sayısal matrislerden üretilmiş yakınsama eğrilerinin grafiği.</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8: Algoritmik Kararların Hukukî Analojisi</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Derin Öğrenme Parametrelerinin Yargısal Karşılıkları</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Metaforik Eşleştirme Kartları:</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SGD:</w:t>
      </w:r>
      <w:r w:rsidDel="00000000" w:rsidR="00000000" w:rsidRPr="00000000">
        <w:rPr>
          <w:rFonts w:ascii="Google Sans" w:cs="Google Sans" w:eastAsia="Google Sans" w:hAnsi="Google Sans"/>
          <w:color w:val="1f1f1f"/>
          <w:rtl w:val="0"/>
        </w:rPr>
        <w:t xml:space="preserve"> Her olaya sıfırdan bakan, hızlı ve bağımsız yerel mahkeme refleksi.</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Momentum:</w:t>
      </w:r>
      <w:r w:rsidDel="00000000" w:rsidR="00000000" w:rsidRPr="00000000">
        <w:rPr>
          <w:rFonts w:ascii="Google Sans" w:cs="Google Sans" w:eastAsia="Google Sans" w:hAnsi="Google Sans"/>
          <w:color w:val="1f1f1f"/>
          <w:rtl w:val="0"/>
        </w:rPr>
        <w:t xml:space="preserve"> Geçmiş kararların gücünü ve çizgisini arkasına alan istikrarlı içtihat zinciri.</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Adam:</w:t>
      </w:r>
      <w:r w:rsidDel="00000000" w:rsidR="00000000" w:rsidRPr="00000000">
        <w:rPr>
          <w:rFonts w:ascii="Google Sans" w:cs="Google Sans" w:eastAsia="Google Sans" w:hAnsi="Google Sans"/>
          <w:color w:val="1f1f1f"/>
          <w:rtl w:val="0"/>
        </w:rPr>
        <w:t xml:space="preserve"> Parametrik duyarlılığa sahip, hata payını minimize eden, usul ekonomisi odaklı üst derece mahkemesi kontrolü.</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9: Regülasyonel Uyum ve Etik Standartlar</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Yapay Zekâ Tüzüğü (AI Act) ve Güvenlik Katmanı</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Maddeler:</w:t>
      </w:r>
    </w:p>
    <w:p w:rsidR="00000000" w:rsidDel="00000000" w:rsidP="00000000" w:rsidRDefault="00000000" w:rsidRPr="00000000" w14:paraId="0000008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High-Risk Uyumu:</w:t>
      </w:r>
      <w:r w:rsidDel="00000000" w:rsidR="00000000" w:rsidRPr="00000000">
        <w:rPr>
          <w:rFonts w:ascii="Google Sans" w:cs="Google Sans" w:eastAsia="Google Sans" w:hAnsi="Google Sans"/>
          <w:color w:val="1f1f1f"/>
          <w:rtl w:val="0"/>
        </w:rPr>
        <w:t xml:space="preserve"> Yargısal sistemler için zorunlu kılınan tüm kayıt tutma ve loglama süreçlerinin "Denetim İzi" (Audit Trail) katmanıyla çözülmesi.</w:t>
      </w:r>
    </w:p>
    <w:p w:rsidR="00000000" w:rsidDel="00000000" w:rsidP="00000000" w:rsidRDefault="00000000" w:rsidRPr="00000000" w14:paraId="0000009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Veri Lokalizasyonu:</w:t>
      </w:r>
      <w:r w:rsidDel="00000000" w:rsidR="00000000" w:rsidRPr="00000000">
        <w:rPr>
          <w:rFonts w:ascii="Google Sans" w:cs="Google Sans" w:eastAsia="Google Sans" w:hAnsi="Google Sans"/>
          <w:color w:val="1f1f1f"/>
          <w:rtl w:val="0"/>
        </w:rPr>
        <w:t xml:space="preserve"> Verilerin bakanlık bünyesinde kalması, dış bulut sistemlerine KVKK uyarınca sızıntı verilmemesi.</w:t>
      </w:r>
    </w:p>
    <w:p w:rsidR="00000000" w:rsidDel="00000000" w:rsidP="00000000" w:rsidRDefault="00000000" w:rsidRPr="00000000" w14:paraId="0000009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Açıklanabilirlik:</w:t>
      </w:r>
      <w:r w:rsidDel="00000000" w:rsidR="00000000" w:rsidRPr="00000000">
        <w:rPr>
          <w:rFonts w:ascii="Google Sans" w:cs="Google Sans" w:eastAsia="Google Sans" w:hAnsi="Google Sans"/>
          <w:color w:val="1f1f1f"/>
          <w:rtl w:val="0"/>
        </w:rPr>
        <w:t xml:space="preserve"> Kara kutu modellerin reddedilerek XAI mimarisinin entegrasyonu.</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10: Sonuç ve Kapanış</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Başlık:</w:t>
      </w:r>
      <w:r w:rsidDel="00000000" w:rsidR="00000000" w:rsidRPr="00000000">
        <w:rPr>
          <w:rFonts w:ascii="Google Sans" w:cs="Google Sans" w:eastAsia="Google Sans" w:hAnsi="Google Sans"/>
          <w:color w:val="1f1f1f"/>
          <w:rtl w:val="0"/>
        </w:rPr>
        <w:t xml:space="preserve"> Yargıda Bilişsel Dış İskelet (Cognitive Exoskeleton) Çağı</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Özet Bulgular:</w:t>
      </w:r>
    </w:p>
    <w:p w:rsidR="00000000" w:rsidDel="00000000" w:rsidP="00000000" w:rsidRDefault="00000000" w:rsidRPr="00000000" w14:paraId="0000009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Önerilen sistem yargı bağımsızlığını zedelemeden hâkimin verimliliğini %30 artırma potansiyeline sahiptir.</w:t>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Sıfırdan yazılan matematiksel motor, milli yargı yapay zekâsının bağımsız geliştirilebilirliğini kanıtlamıştır.</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Kapanış Cümlesi:</w:t>
      </w:r>
      <w:r w:rsidDel="00000000" w:rsidR="00000000" w:rsidRPr="00000000">
        <w:rPr>
          <w:rFonts w:ascii="Google Sans" w:cs="Google Sans" w:eastAsia="Google Sans" w:hAnsi="Google Sans"/>
          <w:color w:val="1f1f1f"/>
          <w:rtl w:val="0"/>
        </w:rPr>
        <w:t xml:space="preserve"> Teşekkür eder, sorularınızı beklerim.</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METODOLOJİK DOĞRULAMA VE "FROM SCRATCH" MATEMATİKSEL İSPATLAR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akademik jüri denetiminde doğrulanabilirliğini en üst seviyeye çıkarmak adına, NumPy kodunda kullanılan geri yayılım (</w:t>
      </w:r>
      <w:r w:rsidDel="00000000" w:rsidR="00000000" w:rsidRPr="00000000">
        <w:rPr>
          <w:rFonts w:ascii="Google Sans" w:cs="Google Sans" w:eastAsia="Google Sans" w:hAnsi="Google Sans"/>
          <w:i w:val="1"/>
          <w:iCs w:val="1"/>
          <w:color w:val="1f1f1f"/>
          <w:rtl w:val="0"/>
        </w:rPr>
        <w:t xml:space="preserve">backward pass</w:t>
      </w:r>
      <w:r w:rsidDel="00000000" w:rsidR="00000000" w:rsidRPr="00000000">
        <w:rPr>
          <w:rFonts w:ascii="Google Sans" w:cs="Google Sans" w:eastAsia="Google Sans" w:hAnsi="Google Sans"/>
          <w:color w:val="1f1f1f"/>
          <w:rtl w:val="0"/>
        </w:rPr>
        <w:t xml:space="preserve">) denklemlerinin zincir kuralı (</w:t>
      </w:r>
      <w:r w:rsidDel="00000000" w:rsidR="00000000" w:rsidRPr="00000000">
        <w:rPr>
          <w:rFonts w:ascii="Google Sans" w:cs="Google Sans" w:eastAsia="Google Sans" w:hAnsi="Google Sans"/>
          <w:i w:val="1"/>
          <w:iCs w:val="1"/>
          <w:color w:val="1f1f1f"/>
          <w:rtl w:val="0"/>
        </w:rPr>
        <w:t xml:space="preserve">chain rule</w:t>
      </w:r>
      <w:r w:rsidDel="00000000" w:rsidR="00000000" w:rsidRPr="00000000">
        <w:rPr>
          <w:rFonts w:ascii="Google Sans" w:cs="Google Sans" w:eastAsia="Google Sans" w:hAnsi="Google Sans"/>
          <w:color w:val="1f1f1f"/>
          <w:rtl w:val="0"/>
        </w:rPr>
        <w:t xml:space="preserve">) matrisel ispatları aşağıda detaylandırılmıştır.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Gradyan Matrislerinin Analitik Çıkarımı</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 nöronlu doğrusal modelimizde $X \in \mathbb{R}^{n \times m}$, $w \in \mathbb{R}^{m \times 1}$ ve $b \in \mathbb{R}^{1}$ boyutundadır. Hata fonksiyonumuz skaler bir büyüklük olup matrisel türev kuralları uyarınca genişletilir: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 = \frac{1}{n} \|y_{pred} - y_{true}\|_2^2 = \frac{1}{n} (Xw + b\mathbf{1} - y_{true})^T(Xw + b\mathbf{1} - y_{true})$$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Hatanın ağırlık vektörü $w$'ya göre kısmi türevi için zincir kuralı uygulandığında: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w} = \frac{\partial L}{\partial y_{pred}} \cdot \frac{\partial y_{pred}}{\partial w}$$</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y_{pred}} = \frac{2}{n}(y_{pred} - y_{true})^T$$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y_{pred}}{\partial w} = X$$</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Matris boyut uyumluluğu ve gradyan yönü kuralları doğrultusunda transpoze işlemleri uygulandığında NumPy kodunda kullanılan nihai türev formülüne ulaşılır: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w} = \frac{2}{n} X^T (y_{pred} - y_{true})$$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Aynı metodoloji bias ($b$) parametresi için işletildiğinde, $y_{pred}$ bileşeninin $b$'ye göre türevi birim vektör $\mathbf{1}$ sonucunu vereceğinden, gradyan vektörünün elemanları toplamına eşit olur: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b} = \frac{2}{n} \sum_{i=1}^{n} (y_{pred,i} - y_{true,i})$$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analitik ispatlar, geliştirilen derin öğrenme modelinin tamamen matematiksel doğrular üzerine kurulduğunu ve dış kütüphanelerin kara kutu hesaplamalarına ihtiyaç duymadan süreç madenciliği anomali skorlarını hatasız hesaplayabildiğini akademik olarak tescillemektedir.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