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Times New Roman" w:cs="Times New Roman"/>
          <w:color w:val="000000"/>
        </w:rPr>
        <w:t>Изменения статьи и контрольный аудит</w:t>
      </w:r>
    </w:p>
    <w:p>
      <w:r>
        <w:rPr>
          <w:rFonts w:ascii="Times New Roman" w:hAnsi="Times New Roman" w:eastAsia="Times New Roman" w:cs="Times New Roman"/>
          <w:color w:val="000000"/>
        </w:rPr>
        <w:t>Verifying State Snapshot Coherence in Unidirectional Industrial Telemetry</w:t>
      </w:r>
    </w:p>
    <w:p>
      <w:r>
        <w:rPr>
          <w:rFonts w:ascii="Times New Roman" w:hAnsi="Times New Roman" w:eastAsia="Times New Roman" w:cs="Times New Roman"/>
          <w:color w:val="000000"/>
        </w:rPr>
        <w:t>Aibar Ibragimov • Leila Rzayeva • Laura Aldasheva</w:t>
      </w:r>
    </w:p>
    <w:p>
      <w:r>
        <w:rPr>
          <w:rFonts w:ascii="Times New Roman" w:hAnsi="Times New Roman" w:eastAsia="Times New Roman" w:cs="Times New Roman"/>
          <w:color w:val="000000"/>
        </w:rPr>
        <w:t>Сравнение с исходным файлом, предоставленным автором. Итоговая статья — 13 страниц при лимите 15; сохранены 8 таблиц, 6 рисунков и 8 нумерованных формул в 10 математических объектах Word.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3288"/>
        <w:gridCol w:w="4989"/>
      </w:tblGrid>
      <w:tr>
        <w:trPr>
          <w:cantSplit/>
          <w:tblHeader/>
        </w:trPr>
        <w:tc>
          <w:tcPr>
            <w:tcW w:type="dxa" w:w="136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7ECEF"/>
          </w:tcPr>
          <w:p>
            <w:pPr>
              <w:spacing w:after="60" w:line="240" w:lineRule="auto"/>
            </w:pPr>
            <w:r>
              <w:rPr>
                <w:b/>
                <w:color w:val="000000"/>
                <w:sz w:val="21"/>
                <w:rFonts w:ascii="Times New Roman" w:hAnsi="Times New Roman" w:eastAsia="Times New Roman" w:cs="Times New Roman"/>
              </w:rPr>
              <w:t>Пункт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7ECEF"/>
          </w:tcPr>
          <w:p>
            <w:pPr>
              <w:spacing w:after="60" w:line="240" w:lineRule="auto"/>
            </w:pPr>
            <w:r>
              <w:rPr>
                <w:b/>
                <w:color w:val="000000"/>
                <w:sz w:val="21"/>
                <w:rFonts w:ascii="Times New Roman" w:hAnsi="Times New Roman" w:eastAsia="Times New Roman" w:cs="Times New Roman"/>
              </w:rPr>
              <w:t>Было</w:t>
            </w:r>
          </w:p>
        </w:tc>
        <w:tc>
          <w:tcPr>
            <w:tcW w:type="dxa" w:w="4989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7ECEF"/>
          </w:tcPr>
          <w:p>
            <w:pPr>
              <w:spacing w:after="60" w:line="240" w:lineRule="auto"/>
            </w:pPr>
            <w:r>
              <w:rPr>
                <w:b/>
                <w:color w:val="000000"/>
                <w:sz w:val="21"/>
                <w:rFonts w:ascii="Times New Roman" w:hAnsi="Times New Roman" w:eastAsia="Times New Roman" w:cs="Times New Roman"/>
              </w:rPr>
              <w:t>Стало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60" w:line="240" w:lineRule="auto"/>
            </w:pPr>
            <w:r>
              <w:rPr>
                <w:b w:val="0"/>
                <w:color w:val="000000"/>
                <w:sz w:val="21"/>
                <w:rFonts w:ascii="Times New Roman" w:hAnsi="Times New Roman" w:eastAsia="Times New Roman" w:cs="Times New Roman"/>
              </w:rPr>
              <w:t>Новизна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60" w:line="240" w:lineRule="auto"/>
            </w:pPr>
            <w:r>
              <w:rPr>
                <w:b w:val="0"/>
                <w:color w:val="000000"/>
                <w:sz w:val="21"/>
                <w:rFonts w:ascii="Times New Roman" w:hAnsi="Times New Roman" w:eastAsia="Times New Roman" w:cs="Times New Roman"/>
              </w:rPr>
              <w:t>Вклад недостаточно отделён от известных атомарных снимков и мониторинга при частичной наблюдаемости.</w:t>
            </w:r>
          </w:p>
        </w:tc>
        <w:tc>
          <w:tcPr>
            <w:tcW w:type="dxa" w:w="4989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60" w:line="240" w:lineRule="auto"/>
            </w:pPr>
            <w:r>
              <w:rPr>
                <w:b w:val="0"/>
                <w:color w:val="000000"/>
                <w:sz w:val="21"/>
                <w:rFonts w:ascii="Times New Roman" w:hAnsi="Times New Roman" w:eastAsia="Times New Roman" w:cs="Times New Roman"/>
              </w:rPr>
              <w:t>Specific contribution формулирует контракт происхождения, критерий совместимых объяснений, условия доказательства согласованности и пределы обнаружения скрытого смешения. Related work разграничивает вклад и известные основы.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60" w:line="240" w:lineRule="auto"/>
            </w:pPr>
            <w:r>
              <w:rPr>
                <w:b w:val="0"/>
                <w:color w:val="000000"/>
                <w:sz w:val="21"/>
                <w:rFonts w:ascii="Times New Roman" w:hAnsi="Times New Roman" w:eastAsia="Times New Roman" w:cs="Times New Roman"/>
              </w:rPr>
              <w:t>Код и данные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60" w:line="240" w:lineRule="auto"/>
            </w:pPr>
            <w:r>
              <w:rPr>
                <w:b w:val="0"/>
                <w:color w:val="000000"/>
                <w:sz w:val="21"/>
                <w:rFonts w:ascii="Times New Roman" w:hAnsi="Times New Roman" w:eastAsia="Times New Roman" w:cs="Times New Roman"/>
              </w:rPr>
              <w:t>Reproducibility перечислял файлы и программы, но не давал доступной ссылки на материалы статьи.</w:t>
            </w:r>
          </w:p>
        </w:tc>
        <w:tc>
          <w:tcPr>
            <w:tcW w:type="dxa" w:w="4989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60" w:line="240" w:lineRule="auto"/>
            </w:pPr>
            <w:r>
              <w:rPr>
                <w:b w:val="0"/>
                <w:color w:val="000000"/>
                <w:sz w:val="21"/>
                <w:rFonts w:ascii="Times New Roman" w:hAnsi="Times New Roman" w:eastAsia="Times New Roman" w:cs="Times New Roman"/>
              </w:rPr>
              <w:t>Указаны GitHub, тег версии и ссылка [20], состав данных и две команды запуска. Полный режим заново создаёт результаты. Читаемые отчёты показывают этапы, основные числа и PASS/FAIL. Код и данные предоставляются отдельно от текста статьи.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60" w:line="240" w:lineRule="auto"/>
            </w:pPr>
            <w:r>
              <w:rPr>
                <w:b w:val="0"/>
                <w:color w:val="000000"/>
                <w:sz w:val="21"/>
                <w:rFonts w:ascii="Times New Roman" w:hAnsi="Times New Roman" w:eastAsia="Times New Roman" w:cs="Times New Roman"/>
              </w:rPr>
              <w:t>Насос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60" w:line="240" w:lineRule="auto"/>
            </w:pPr>
            <w:r>
              <w:rPr>
                <w:b w:val="0"/>
                <w:color w:val="000000"/>
                <w:sz w:val="21"/>
                <w:rFonts w:ascii="Times New Roman" w:hAnsi="Times New Roman" w:eastAsia="Times New Roman" w:cs="Times New Roman"/>
              </w:rPr>
              <w:t>Два бинарных поля объясняли механизм, но не показывали конкретную промышленную ошибку решения.</w:t>
            </w:r>
          </w:p>
        </w:tc>
        <w:tc>
          <w:tcPr>
            <w:tcW w:type="dxa" w:w="4989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60" w:line="240" w:lineRule="auto"/>
            </w:pPr>
            <w:r>
              <w:rPr>
                <w:b w:val="0"/>
                <w:color w:val="000000"/>
                <w:sz w:val="21"/>
                <w:rFonts w:ascii="Times New Roman" w:hAnsi="Times New Roman" w:eastAsia="Times New Roman" w:cs="Times New Roman"/>
              </w:rPr>
              <w:t>Добавлен насос: статус двигателя, давление, эпоха, поколение, время захвата и качество. Смешение g101/g100 создаёт ложную тревогу; старое давление g101 скрывает неисправность g102. Пример обозначен как иллюстративный.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60" w:line="240" w:lineRule="auto"/>
            </w:pPr>
            <w:r>
              <w:rPr>
                <w:b w:val="0"/>
                <w:color w:val="000000"/>
                <w:sz w:val="21"/>
                <w:rFonts w:ascii="Times New Roman" w:hAnsi="Times New Roman" w:eastAsia="Times New Roman" w:cs="Times New Roman"/>
              </w:rPr>
              <w:t>Краткость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60" w:line="240" w:lineRule="auto"/>
            </w:pPr>
            <w:r>
              <w:rPr>
                <w:b w:val="0"/>
                <w:color w:val="000000"/>
                <w:sz w:val="21"/>
                <w:rFonts w:ascii="Times New Roman" w:hAnsi="Times New Roman" w:eastAsia="Times New Roman" w:cs="Times New Roman"/>
              </w:rPr>
              <w:t>Аннотация — 260 слов; многочисленные повторные пояснения затрудняли выделение результатов.</w:t>
            </w:r>
          </w:p>
        </w:tc>
        <w:tc>
          <w:tcPr>
            <w:tcW w:type="dxa" w:w="4989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60" w:line="240" w:lineRule="auto"/>
            </w:pPr>
            <w:r>
              <w:rPr>
                <w:b w:val="0"/>
                <w:color w:val="000000"/>
                <w:sz w:val="21"/>
                <w:rFonts w:ascii="Times New Roman" w:hAnsi="Times New Roman" w:eastAsia="Times New Roman" w:cs="Times New Roman"/>
              </w:rPr>
              <w:t>Аннотация — 250 слов и 1 772 знака, в пределах требований портала. Текст абзацев с библиографией, без таблиц: 4 756 → 4 175 слов (сокращение около 12%). Убраны повторы; результаты и ограничения изложены отдельно.</w:t>
            </w:r>
          </w:p>
        </w:tc>
      </w:tr>
    </w:tbl>
    <w:p>
      <w:pPr>
        <w:pStyle w:val="Heading1"/>
      </w:pPr>
      <w:r>
        <w:rPr>
          <w:rFonts w:ascii="Times New Roman" w:hAnsi="Times New Roman" w:eastAsia="Times New Roman" w:cs="Times New Roman"/>
          <w:color w:val="000000"/>
        </w:rPr>
        <w:t>Дополнительно</w:t>
      </w:r>
    </w:p>
    <w:p>
      <w:r>
        <w:rPr>
          <w:rFonts w:ascii="Times New Roman" w:hAnsi="Times New Roman" w:eastAsia="Times New Roman" w:cs="Times New Roman"/>
          <w:color w:val="000000"/>
        </w:rPr>
        <w:t>Добавлены два соавтора с переданными аффилиациями, email и ORCID; степени и должности для них не дописывались по указанию автора. Для Aibar указан подтверждённый статус магистранта. Библиография расширена с 15 до 20 источников; проверены библиографические данные, ссылки и порядок цитирования.</w:t>
      </w:r>
    </w:p>
    <w:p>
      <w:pPr>
        <w:pStyle w:val="Heading1"/>
      </w:pPr>
      <w:r>
        <w:rPr>
          <w:rFonts w:ascii="Times New Roman" w:hAnsi="Times New Roman" w:eastAsia="Times New Roman" w:cs="Times New Roman"/>
          <w:color w:val="000000"/>
        </w:rPr>
        <w:t>Предоставление материалов</w:t>
      </w:r>
    </w:p>
    <w:p>
      <w:r>
        <w:rPr>
          <w:rFonts w:ascii="Times New Roman" w:hAnsi="Times New Roman" w:eastAsia="Times New Roman" w:cs="Times New Roman"/>
          <w:color w:val="000000"/>
        </w:rPr>
        <w:t>Репозиторий: https://github.com/aizexss/unidirectional. Версия: article1-verified-20261029. Репозиторий приватный по указанию автора. Для проверки рецензенту нужно передать комплект ZIP через систему подачи либо предоставить доступ к репозиторию. Одна приватная ссылка без доступа не закрывает замечание о предоставлении материалов.</w:t>
      </w:r>
    </w:p>
    <w:p>
      <w:r>
        <w:rPr>
          <w:rFonts w:ascii="Times New Roman" w:hAnsi="Times New Roman" w:eastAsia="Times New Roman" w:cs="Times New Roman"/>
          <w:color w:val="000000"/>
        </w:rPr>
        <w:br w:type="page"/>
      </w:r>
    </w:p>
    <w:p>
      <w:pPr>
        <w:pStyle w:val="Heading1"/>
      </w:pPr>
      <w:r>
        <w:rPr>
          <w:rFonts w:ascii="Times New Roman" w:hAnsi="Times New Roman" w:eastAsia="Times New Roman" w:cs="Times New Roman"/>
          <w:color w:val="000000"/>
        </w:rPr>
        <w:t>Что обнаружено и исправлено при аудите</w:t>
      </w:r>
    </w:p>
    <w:p>
      <w:r>
        <w:rPr>
          <w:b/>
          <w:rFonts w:ascii="Times New Roman" w:hAnsi="Times New Roman" w:eastAsia="Times New Roman" w:cs="Times New Roman"/>
          <w:color w:val="000000"/>
        </w:rPr>
        <w:t xml:space="preserve">Риск использования старых результатов. </w:t>
      </w:r>
      <w:r>
        <w:rPr>
          <w:rFonts w:ascii="Times New Roman" w:hAnsi="Times New Roman" w:eastAsia="Times New Roman" w:cs="Times New Roman"/>
          <w:color w:val="000000"/>
        </w:rPr>
        <w:t>Полный запуск копировал каталог с готовыми ответами. Теперь до расчёта удаляются все 29 расчётных файлов во временной копии. Отсутствие нового файла или любое расхождение приводит к FAIL.</w:t>
      </w:r>
    </w:p>
    <w:p>
      <w:r>
        <w:rPr>
          <w:b/>
          <w:rFonts w:ascii="Times New Roman" w:hAnsi="Times New Roman" w:eastAsia="Times New Roman" w:cs="Times New Roman"/>
          <w:color w:val="000000"/>
        </w:rPr>
        <w:t xml:space="preserve">Недостаточная точность сверки журнала. </w:t>
      </w:r>
      <w:r>
        <w:rPr>
          <w:rFonts w:ascii="Times New Roman" w:hAnsi="Times New Roman" w:eastAsia="Times New Roman" w:cs="Times New Roman"/>
          <w:color w:val="000000"/>
        </w:rPr>
        <w:t>Агрегированные числа сами по себе не исключают переставленные времена или ошибочные поколения. Теперь каждый кортеж чтения проверяется по независимо восстановленному расписанию. Добавлены отрицательные тесты пропусков, дублей, лишних строк и неверных происхождений.</w:t>
      </w:r>
    </w:p>
    <w:p>
      <w:r>
        <w:rPr>
          <w:b/>
          <w:rFonts w:ascii="Times New Roman" w:hAnsi="Times New Roman" w:eastAsia="Times New Roman" w:cs="Times New Roman"/>
          <w:color w:val="000000"/>
        </w:rPr>
        <w:t xml:space="preserve">Округления таблиц. </w:t>
      </w:r>
      <w:r>
        <w:rPr>
          <w:rFonts w:ascii="Times New Roman" w:hAnsi="Times New Roman" w:eastAsia="Times New Roman" w:cs="Times New Roman"/>
          <w:color w:val="000000"/>
        </w:rPr>
        <w:t>Исправлены 95,49 → 95,50% (C06 R1, свежесть), 94,48 → 94,49% (C12 R1, свежесть) и 30,89 → 30,90% (C05 R0, покрытие V). Используются точные доли счётчиков и десятичное округление half-up; исходные счётчики сохранены.</w:t>
      </w:r>
    </w:p>
    <w:p>
      <w:r>
        <w:rPr>
          <w:b/>
          <w:rFonts w:ascii="Times New Roman" w:hAnsi="Times New Roman" w:eastAsia="Times New Roman" w:cs="Times New Roman"/>
          <w:color w:val="000000"/>
        </w:rPr>
        <w:t xml:space="preserve">Точность научных утверждений. </w:t>
      </w:r>
      <w:r>
        <w:rPr>
          <w:rFonts w:ascii="Times New Roman" w:hAnsi="Times New Roman" w:eastAsia="Times New Roman" w:cs="Times New Roman"/>
          <w:color w:val="000000"/>
        </w:rPr>
        <w:t>Уточнены зависимость условий через общие случайные входы, знаменатели метрик, условность нулевого смешения R1 и невозможность мгновенного обнаружения неисправности при потере нового снимка. Убраны неподтверждённые утверждения о предварительной фиксации анализа и выборе трассы.</w:t>
      </w:r>
    </w:p>
    <w:p>
      <w:r>
        <w:rPr>
          <w:b/>
          <w:rFonts w:ascii="Times New Roman" w:hAnsi="Times New Roman" w:eastAsia="Times New Roman" w:cs="Times New Roman"/>
          <w:color w:val="000000"/>
        </w:rPr>
        <w:t xml:space="preserve">Связь рисунков и статьи. </w:t>
      </w:r>
      <w:r>
        <w:rPr>
          <w:rFonts w:ascii="Times New Roman" w:hAnsi="Times New Roman" w:eastAsia="Times New Roman" w:cs="Times New Roman"/>
          <w:color w:val="000000"/>
        </w:rPr>
        <w:t>В исходном комплекте рисунки 3 и 6 имели более ранний макет. Сохранены исходные файлы и отдельно предоставлены точные шесть изображений из Word. Проверяется их побайтовое совпадение; программа не заявляет повторную отрисовку графиков.</w:t>
      </w:r>
    </w:p>
    <w:p>
      <w:r>
        <w:rPr>
          <w:b/>
          <w:rFonts w:ascii="Times New Roman" w:hAnsi="Times New Roman" w:eastAsia="Times New Roman" w:cs="Times New Roman"/>
          <w:color w:val="000000"/>
        </w:rPr>
        <w:t xml:space="preserve">Требования журнала и надёжность запуска. </w:t>
      </w:r>
      <w:r>
        <w:rPr>
          <w:rFonts w:ascii="Times New Roman" w:hAnsi="Times New Roman" w:eastAsia="Times New Roman" w:cs="Times New Roman"/>
          <w:color w:val="000000"/>
        </w:rPr>
        <w:t>Промежуточная аннотация на 150 слов заменена на 250; источники доведены до 20. Дочерние проверки запускаются в изолированном Python, чтобы настройки окружения не отключали assert. Отчёты получают числа из проверенных результатов.</w:t>
      </w:r>
    </w:p>
    <w:p>
      <w:pPr>
        <w:pStyle w:val="Heading1"/>
      </w:pPr>
      <w:r>
        <w:rPr>
          <w:rFonts w:ascii="Times New Roman" w:hAnsi="Times New Roman" w:eastAsia="Times New Roman" w:cs="Times New Roman"/>
          <w:color w:val="000000"/>
        </w:rPr>
        <w:t>Проверки после исправлений</w:t>
      </w:r>
    </w:p>
    <w:p>
      <w:r>
        <w:rPr>
          <w:rFonts w:ascii="Times New Roman" w:hAnsi="Times New Roman" w:eastAsia="Times New Roman" w:cs="Times New Roman"/>
          <w:color w:val="000000"/>
        </w:rPr>
        <w:t>Пройдены 27 регрессионных тестов, полный пересчёт 960 прогонов и сравнение 29 файлов. Восстановлены все 3 840 000 чтений; независимо проверены 372 средних, 132 выбранных bootstrap-интервала и 60 парных интервалов. Сверены 48 числовых ячеек таблиц и 6 изображений. Сохранены все 47 файлов исходного вычислительного комплекта. Проверены конечные модели, 65 точных марковских рекурсий и графовый критерий. Среда проверки: Python 3.12.14, Windows 11.</w:t>
      </w:r>
    </w:p>
    <w:p>
      <w:r>
        <w:rPr>
          <w:rFonts w:ascii="Times New Roman" w:hAnsi="Times New Roman" w:eastAsia="Times New Roman" w:cs="Times New Roman"/>
          <w:color w:val="000000"/>
        </w:rPr>
        <w:t>Запуск: python reproduce.py --verify-only — проверка предоставленных данных; python reproduce.py --full — чистый пересчёт. Результаты: reports/RESULTS_RU.md и reports/verification_summary.json. Код завершения 0 означает успех; 1 — ошибку проверки; 2 — ошибку аргументов.</w:t>
      </w:r>
    </w:p>
    <w:p>
      <w:pPr>
        <w:pStyle w:val="Heading1"/>
      </w:pPr>
      <w:r>
        <w:rPr>
          <w:rFonts w:ascii="Times New Roman" w:hAnsi="Times New Roman" w:eastAsia="Times New Roman" w:cs="Times New Roman"/>
          <w:color w:val="000000"/>
        </w:rPr>
        <w:t>Границы заключения</w:t>
      </w:r>
    </w:p>
    <w:p>
      <w:r>
        <w:rPr>
          <w:rFonts w:ascii="Times New Roman" w:hAnsi="Times New Roman" w:eastAsia="Times New Roman" w:cs="Times New Roman"/>
          <w:color w:val="000000"/>
        </w:rPr>
        <w:t>В повторном проходе вычислительной и содержательной проверки новых расхождений не выявлено. Это подтверждает воспроизведение объявленной синтетической модели, а не испытания оборудования или отсутствие всех мыслимых ошибок. Формулы сохранены в редактируемом формате Word OMML; их отображение проверено. Портал указывает MathType, и преобразование в этот формат не подтверждено. Перед публикацией также потребуется обеспечить читателям доступ к материалам; приватность сохранена по указанию автора.</w:t>
      </w:r>
    </w:p>
    <w:p>
      <w:r>
        <w:rPr>
          <w:rFonts w:ascii="Times New Roman" w:hAnsi="Times New Roman" w:eastAsia="Times New Roman" w:cs="Times New Roman"/>
          <w:color w:val="000000"/>
        </w:rPr>
        <w:t>Проверенные правила: https://www.journal.astanait.edu.kz/index.php/ojs/requirements; шаблон 2023 года — ссылка с https://sj.astanait.edu.kz/submit-an-article/.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45" w:lineRule="auto"/>
    </w:pPr>
    <w:rPr>
      <w:rFonts w:ascii="Times New Roman" w:hAnsi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00" w:line="240" w:lineRule="auto" w:before="160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Изменения статьи и контрольный аудит</dc:title>
  <dc:subject/>
  <dc:creator>Aibar Ibragimov; Leila Rzayeva; Laura Aldasheva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