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71vga421t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fdka4q1h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 Operations Dashboard — Power BI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Aizhan Ismailova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CPX Holding — Technical Assessment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14 May 2026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Business Requirements Document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8stlvf7xv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business requirements for a Power BI Security Operations Center (SOC) dashboard consolidating data from FortiSOAR alert management, Tenable vulnerability scanning, and threat intelligence feeds. The dashboard provides two distinct user experiences — an executive view for strategic monitoring and an operational view for analyst-level investigation — both backed by a star-schema data model and DAX measures.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deliverable demonstrates the candidate's ability to ingest heterogeneous security data, design a dimensional model, author analytical measures, and present operational intelligence in a manner consistent with enterprise SOC reporting standards.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zrlepeh29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Background and Context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m1r8twek1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Purpose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Security Operations Centers generate large volumes of telemetry across disparate systems: SOAR platforms for alert handling, vulnerability scanners for asset risk posture, and threat intelligence feeds for known-malicious indicators. Each system answers different questions, and consolidating them into a unified view enables both strategic decision-making (by leadership) and operational triage (by analysts).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dashboard addresses that consolidation need within Power BI, demonstrating end-to-end SOC analytics capability from raw JSON ingestion through to a finished, brand-aligned deliverable.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jb9gxuxwh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Scope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scope: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Ingestion and transformation of three SOC data sources within Power BI (FortiSOAR alerts, Tenable vulnerabilities, threat intelligence)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of a star-schema dimensional model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Authoring of DAX measures supporting the prescribed KPIs (MTTD, Alert Volume by Severity, Escalation Rate) and additional analytical metrics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implementation of an executive-level dashboard view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implementation of an operational-level dashboard view with interactive filtering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data quality findings and modeling assumptions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 the AbuseIPDB enrichment file (not provided in the data package — see Section 7.2)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 streaming or scheduled refresh from live source systems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access management, row-level security, or workspace deployment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Mobile-optimized layouts (desktop-first design)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Alerting, paging, or external notification integration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brm6iji7n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Stakeholders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0.5960175414893"/>
        <w:gridCol w:w="2285.7120395052025"/>
        <w:gridCol w:w="4299.203753976932"/>
        <w:tblGridChange w:id="0">
          <w:tblGrid>
            <w:gridCol w:w="2440.5960175414893"/>
            <w:gridCol w:w="2285.7120395052025"/>
            <w:gridCol w:w="4299.2037539769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CISO / Security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Strategic oversight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Executive view: weekly health check, board reporting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SOC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Operational oversight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Both views: workload visibility, analyst coordination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SOC Analyst (Tier 1/2)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Day-to-day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Operational view: filtering, triage, IOC investigation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Risk remediation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Operational view: asset hotspots, CVE prioritization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Threat Intelligence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Intel coverage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Operational view: IOC overlap analysis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vrdrpgnwh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Business Requirements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4ftl17vwu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Functional Requirements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.7115358630094"/>
        <w:gridCol w:w="7340.561868144018"/>
        <w:gridCol w:w="976.2384070165957"/>
        <w:tblGridChange w:id="0">
          <w:tblGrid>
            <w:gridCol w:w="708.7115358630094"/>
            <w:gridCol w:w="7340.561868144018"/>
            <w:gridCol w:w="976.23840701659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display the total number of alerts ingested.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display alert volume broken down by severity (Critical, High, Medium, Low).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display the Mean Time to Detect (MTTD) as a calculated metric.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display the alert escalation rate as a calculated metric.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display average alert resolution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display open vulnerability counts broken down by severity.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display a remediation rate metric for vulnerabilities.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provide a time-series visualization of alert volume.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provide at least one executive-level view summarizing KPIs without requiring user interaction.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provide at least one operational-level view supporting interactive filtering.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The operational view shall allow filtering by date range, severity, status, alert category, and threat type.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The operational view shall enable cross-visual filtering (clicking a chart element filters related visuals).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display the top N highest-risk vulnerabilities sorted by CVSS score.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display the top IOCs by alert frequency, with available threat intelligence enrichment.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provide a mechanism to clear all applied filters in a single 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display the data refresh timestamp.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dashboard shall provide page-level navigation between executive and operational views.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ksi09xt9g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Non-Functional Requirements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3.1937057009841"/>
        <w:gridCol w:w="3651.507118552459"/>
        <w:gridCol w:w="4580.8109867701805"/>
        <w:tblGridChange w:id="0">
          <w:tblGrid>
            <w:gridCol w:w="793.1937057009841"/>
            <w:gridCol w:w="3651.507118552459"/>
            <w:gridCol w:w="4580.8109867701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All data preparation must be performed within Power BI (Power Query M and DAX).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 external ETL tooling used; source files referenced directly.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All KPIs must be implemented as DAX measures, not calculated columns.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Visible in the Measures table; no calculated columns serving as KPI sources.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The data model must follow star-schema design principles.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Fact tables surrounded by dimension tables; no flat or snowflake structures except where conformed dimensions naturally span fact tables.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Visual styling must be consistent across both pages.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Unified palette, typography, spacing, and chrome between executive and operational views.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Severity color encoding must be consistent across all visuals.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Critical → red, High → orange, Medium → yellow, Low → green throughout.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3"/>
              <w:keepNext w:val="0"/>
              <w:keepLines w:val="0"/>
              <w:spacing w:before="280" w:lineRule="auto"/>
              <w:rPr/>
            </w:pPr>
            <w:bookmarkStart w:colFirst="0" w:colLast="0" w:name="_jverpzhqznp2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xg80gtl1v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Data Requirements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1.6141732283465"/>
        <w:gridCol w:w="5913.590551181103"/>
        <w:gridCol w:w="2430.3070866141734"/>
        <w:tblGridChange w:id="0">
          <w:tblGrid>
            <w:gridCol w:w="681.6141732283465"/>
            <w:gridCol w:w="5913.590551181103"/>
            <w:gridCol w:w="2430.30708661417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Source: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fortisoar_alerts.json</w:t>
            </w:r>
            <w:r w:rsidDel="00000000" w:rsidR="00000000" w:rsidRPr="00000000">
              <w:rPr>
                <w:rtl w:val="0"/>
              </w:rPr>
              <w:t xml:space="preserve"> (2,000 records, JSON-LD format)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FortiSOAR SOAR alert export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Source: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tenable_vulnerabilities.json</w:t>
            </w:r>
            <w:r w:rsidDel="00000000" w:rsidR="00000000" w:rsidRPr="00000000">
              <w:rPr>
                <w:rtl w:val="0"/>
              </w:rPr>
              <w:t xml:space="preserve"> (2,000 records, flat array)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Tenable vulnerability scanner output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Source: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threat_intelligence.json</w:t>
            </w:r>
            <w:r w:rsidDel="00000000" w:rsidR="00000000" w:rsidRPr="00000000">
              <w:rPr>
                <w:rtl w:val="0"/>
              </w:rPr>
              <w:t xml:space="preserve"> (2,000 records, flat array)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Internal threat intelligence feed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Source: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abuseipdb_enrichment.json</w:t>
            </w:r>
            <w:r w:rsidDel="00000000" w:rsidR="00000000" w:rsidRPr="00000000">
              <w:rPr>
                <w:rtl w:val="0"/>
              </w:rPr>
              <w:t xml:space="preserve"> (2,000 records expected)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received</w:t>
            </w:r>
            <w:r w:rsidDel="00000000" w:rsidR="00000000" w:rsidRPr="00000000">
              <w:rPr>
                <w:rtl w:val="0"/>
              </w:rPr>
              <w:t xml:space="preserve"> — see Section 7.2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Alert records must retain: identity, severity, status, timestamps, owner, category, and indicators of compromise (IOCs)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All fields preserved through transformation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records must retain: asset identifier, CVE, severity, CVSS score, first-seen and last-seen dates,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All fields preserved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Threat intelligence records must retain: IOC value, IOC type, threat type, confidence, date range,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All fields preserved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The model must support cross-source analysis (alerts joined to threat intelligence via IOCs)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Bridge-table pattern used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9yqz931ob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Two-View Design Rationale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8.4172122790426"/>
        <w:gridCol w:w="2342.0334860638523"/>
        <w:gridCol w:w="4975.061112680729"/>
        <w:tblGridChange w:id="0">
          <w:tblGrid>
            <w:gridCol w:w="1708.4172122790426"/>
            <w:gridCol w:w="2342.0334860638523"/>
            <w:gridCol w:w="4975.0611126807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CISO, board,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Glanceable summary. No filters. Eye flow: KPI strip → trend → breakdowns. Reads in 60 seconds.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SOC analysts, vulnerability managers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Filterable workspace. Persistent slicer panel. Dense data tables for triage. Designed for daily analyst use.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views answer fundamentally different questions and are therefore structured differently, while sharing visual language (palette, typography, layout grid) for consistency.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31vsut076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KPI Inventory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3.6638917835833"/>
        <w:gridCol w:w="2287.5083588491143"/>
        <w:gridCol w:w="2882.4450086304364"/>
        <w:gridCol w:w="2591.8945517604884"/>
        <w:tblGridChange w:id="0">
          <w:tblGrid>
            <w:gridCol w:w="1263.6638917835833"/>
            <w:gridCol w:w="2287.5083588491143"/>
            <w:gridCol w:w="2882.4450086304364"/>
            <w:gridCol w:w="2591.89455176048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Total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FactAlerts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Alerts by 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FactAlerts × DimSeverity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 Alerts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 Alerts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MTTD (Mean Time to Detect)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FactAlerts (ingested − created)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MTTD (min)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MTTD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MTTR (Avg Resolution 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FactAlerts (updated − created)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MTTR (min)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MTTR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Escalation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FactAlerts × DimSeverity × DimStatus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Escalation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Open / Closed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FactAlerts × DimStatus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 Alerts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Closed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Closure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FactAlerts × DimStatus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Closure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Open Critical 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FactVulnerabilities × DimSeverity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 Critical Vulns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Remediation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FactVulnerabilities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Remediation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Unique IOCs (in alerts)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FactAlertIOCs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Distinct Alert IOCs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TI Coverage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DimIOC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 Coverage 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5zt6kpwtz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User Experience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inlyoks32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Executive Overview Page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0.5960175414893"/>
        <w:gridCol w:w="5073.623644158366"/>
        <w:gridCol w:w="1511.2921493237684"/>
        <w:tblGridChange w:id="0">
          <w:tblGrid>
            <w:gridCol w:w="2440.5960175414893"/>
            <w:gridCol w:w="5073.623644158366"/>
            <w:gridCol w:w="1511.29214932376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Title bar, reporting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KPI strip (top)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5 cards: Total Alerts, % High/Critical, Escalation Rate, Avg Resolution Time, Open Critical Vulns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Headline metrics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Trend chart (middle)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Time-series of alert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Temporal context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Severity donut (bottom-left)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Volume by 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Risk distribution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bar chart (bottom-right)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Top 10 assets by open 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Risk hotspots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sagopa6ac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Operational Detail Page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.0472440944886"/>
        <w:gridCol w:w="4404.637795275591"/>
        <w:gridCol w:w="1950.8267716535433"/>
        <w:tblGridChange w:id="0">
          <w:tblGrid>
            <w:gridCol w:w="2670.0472440944886"/>
            <w:gridCol w:w="4404.637795275591"/>
            <w:gridCol w:w="1950.82677165354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Title bar, last refreshed 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Filter rail (left)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Date, Severity, Status, Category, Threat Type slicers + clear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Analyst-driven filtering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KPI strip (top)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4 cards: Open Alerts, Critical Alerts, MTTD, Unique IOCs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Operational headlines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Stacked bar (middle-left)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Alerts by category, segmented by 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Workload composition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100% stacked column (middle-right)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Alert pipeline (Open/In Progress/Closed) by 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Workflow status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IOC table (bottom-left)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Top IOCs by alert frequency, with TI enrichment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Threat-surface scan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Vulnerability table (bottom-right)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Open vulnerabilities sorted by CVSS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Patch prioritization</w:t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5moxj997w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Interaction Model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filters in the slicer rail apply globally to the operational page.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Cross-visual filtering enabled: clicking a chart element filters related visuals.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Visuals unrelated to a clicked element remain unaffected (e.g., clicking an IOC row does not filter the vulnerability table).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"Clear all filters" button resets the page via a Power BI bookmark.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kwfmrxuxg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Modeling Approach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l6albegq0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Star Schema Decision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implements a star schema with three fact tables and a bridge table. Rationale: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FactAlerts</w:t>
      </w:r>
      <w:r w:rsidDel="00000000" w:rsidR="00000000" w:rsidRPr="00000000">
        <w:rPr>
          <w:rtl w:val="0"/>
        </w:rPr>
        <w:t xml:space="preserve"> captures alert events (one row per alert).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FactVulnerabilities</w:t>
      </w:r>
      <w:r w:rsidDel="00000000" w:rsidR="00000000" w:rsidRPr="00000000">
        <w:rPr>
          <w:rtl w:val="0"/>
        </w:rPr>
        <w:t xml:space="preserve"> captures vulnerability findings (one row per finding).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FactAlertIOCs</w:t>
      </w:r>
      <w:r w:rsidDel="00000000" w:rsidR="00000000" w:rsidRPr="00000000">
        <w:rPr>
          <w:rtl w:val="0"/>
        </w:rPr>
        <w:t xml:space="preserve"> is a bridge between alerts and indicators, enabling many-to-many resolution.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Conformed dimensions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DimSeverity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DimDate</w:t>
      </w:r>
      <w:r w:rsidDel="00000000" w:rsidR="00000000" w:rsidRPr="00000000">
        <w:rPr>
          <w:rtl w:val="0"/>
        </w:rPr>
        <w:t xml:space="preserve">) are shared across multiple fact tables, allowing cross-fact analysis (e.g., "Critical severity" filters both alerts and vulnerabilities simultaneously).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zrp8qw8b5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Dimension Design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6.8099794857937"/>
        <w:gridCol w:w="1342.327809647819"/>
        <w:gridCol w:w="6256.37402189001"/>
        <w:tblGridChange w:id="0">
          <w:tblGrid>
            <w:gridCol w:w="1426.8099794857937"/>
            <w:gridCol w:w="1342.327809647819"/>
            <w:gridCol w:w="6256.374021890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Manually constructed; includes sort order and color hex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3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IsOpen</w:t>
            </w:r>
            <w:r w:rsidDel="00000000" w:rsidR="00000000" w:rsidRPr="00000000">
              <w:rPr>
                <w:rtl w:val="0"/>
              </w:rPr>
              <w:t xml:space="preserve"> boolean flag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4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Composite key Category + SubCategory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Includes synthetic "Unassigned" record for null owners (33% of alerts)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~850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DAX-generated calendar, marked as date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200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Distinct asset identifiers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DimCVE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1,788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Distinct CVE identifiers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DimIOC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~2,232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UNION of alert IOCs and threat intel feed</w:t>
            </w:r>
          </w:p>
        </w:tc>
      </w:tr>
    </w:tbl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xaekh4ry5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DimIOC Design Note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DimIOC</w:t>
      </w:r>
      <w:r w:rsidDel="00000000" w:rsidR="00000000" w:rsidRPr="00000000">
        <w:rPr>
          <w:rtl w:val="0"/>
        </w:rPr>
        <w:t xml:space="preserve"> is constructed by union rather than direct sourcing from threat intelligence. Rationale: in real-world data, alerts contain IOCs that may not appear in any threat intelligence feed, and threat intelligence contains IOCs that may not appear in any alert. A union-based dimension preserves all distinct IOCs with TI enrichment as nullable columns, supported by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InAlerts</w:t>
      </w:r>
      <w:r w:rsidDel="00000000" w:rsidR="00000000" w:rsidRPr="00000000">
        <w:rPr>
          <w:rtl w:val="0"/>
        </w:rPr>
        <w:t xml:space="preserve"> provenance flag. This pattern enables future analysis of TI coverage rates and supports the addition of further enrichment sources (such as AbuseIPDB).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i5s1wvvc1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Relationship Strategy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relationships are Many-to-One from fact to dimension, with single-direction cross-filter (from dimension to fact). Bidirectional relationships are avoided to prevent filter ambiguity in a multi-fact model.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Inactive relationships are used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FactAlerts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IngestedDate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UpdatedDate</w:t>
      </w:r>
      <w:r w:rsidDel="00000000" w:rsidR="00000000" w:rsidRPr="00000000">
        <w:rPr>
          <w:rtl w:val="0"/>
        </w:rPr>
        <w:t xml:space="preserve"> columns, accessed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USERELATIONSHIP()</w:t>
      </w:r>
      <w:r w:rsidDel="00000000" w:rsidR="00000000" w:rsidRPr="00000000">
        <w:rPr>
          <w:rtl w:val="0"/>
        </w:rPr>
        <w:t xml:space="preserve"> in time-context measures.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w5o93ogye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Quality and Assumptions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uzixjuk9m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Synthetic Data Characteristics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provided dataset is synthetic with several uniform distributions that affect measure variance: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9.5603572174386"/>
        <w:gridCol w:w="2694.0425270554133"/>
        <w:gridCol w:w="3721.908926750771"/>
        <w:tblGridChange w:id="0">
          <w:tblGrid>
            <w:gridCol w:w="2609.5603572174386"/>
            <w:gridCol w:w="2694.0425270554133"/>
            <w:gridCol w:w="3721.90892675077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Exactly 500 alerts per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KPI breakdowns are uniform; severity comparisons show no variance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Approximately even split across 3 statuses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Status-based metrics show balanced distribution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Exactly 500 per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Same uniform pattern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Detection delta (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ingested − created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Constant 5 seconds across all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MTTD measure returns a constant 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Response delta (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updated − created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Constant 5 minutes across all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MTTR measure returns a constant value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Alert creation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All 2,000 alerts on 2026-05-05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Time-trend visualizations show limited variance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Source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Constant "FortiSOAR"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DimSource dimension was not created (no cardinality)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Alert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Constant "Security Alert"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Field dropped from model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Plugin name (vulnerabilities)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Constant "Generic Vulnerability"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Field dropped from model</w:t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characteristics are noted in the dashboard's Assumptions documentation. On real-world data, the same measures would produce meaningful variance without requiring redesign.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1hj4df9q6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KPI Definitions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8x517cl8j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MTTD (Mean Time to Detect)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AVERAGE(ingested_at − created_at)</w:t>
      </w:r>
      <w:r w:rsidDel="00000000" w:rsidR="00000000" w:rsidRPr="00000000">
        <w:rPr>
          <w:rtl w:val="0"/>
        </w:rPr>
        <w:t xml:space="preserve"> in minutes </w:t>
      </w: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Time elapsed between event occurrence and SOC ingestion. </w:t>
      </w:r>
      <w:r w:rsidDel="00000000" w:rsidR="00000000" w:rsidRPr="00000000">
        <w:rPr>
          <w:b w:val="1"/>
          <w:bCs w:val="1"/>
          <w:rtl w:val="0"/>
        </w:rPr>
        <w:t xml:space="preserve">Synthetic data result:</w:t>
      </w:r>
      <w:r w:rsidDel="00000000" w:rsidR="00000000" w:rsidRPr="00000000">
        <w:rPr>
          <w:rtl w:val="0"/>
        </w:rPr>
        <w:t xml:space="preserve"> Constant 5 seconds (documented limitation). </w:t>
      </w:r>
      <w:r w:rsidDel="00000000" w:rsidR="00000000" w:rsidRPr="00000000">
        <w:rPr>
          <w:b w:val="1"/>
          <w:bCs w:val="1"/>
          <w:rtl w:val="0"/>
        </w:rPr>
        <w:t xml:space="preserve">Production behavior:</w:t>
      </w:r>
      <w:r w:rsidDel="00000000" w:rsidR="00000000" w:rsidRPr="00000000">
        <w:rPr>
          <w:rtl w:val="0"/>
        </w:rPr>
        <w:t xml:space="preserve"> Variable across alerts; expected to reveal ingestion latency patterns.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6z7sqpfl7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Alert Volume by Severity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COUNTROWS(FactAlerts)</w:t>
      </w:r>
      <w:r w:rsidDel="00000000" w:rsidR="00000000" w:rsidRPr="00000000">
        <w:rPr>
          <w:rtl w:val="0"/>
        </w:rPr>
        <w:t xml:space="preserve"> evaluated within severity filter context. </w:t>
      </w: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Individual measures per severity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 Alerts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Alerts</w:t>
      </w:r>
      <w:r w:rsidDel="00000000" w:rsidR="00000000" w:rsidRPr="00000000">
        <w:rPr>
          <w:rtl w:val="0"/>
        </w:rPr>
        <w:t xml:space="preserve">, etc.)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High or Critical</w:t>
      </w:r>
      <w:r w:rsidDel="00000000" w:rsidR="00000000" w:rsidRPr="00000000">
        <w:rPr>
          <w:rtl w:val="0"/>
        </w:rPr>
        <w:t xml:space="preserve"> aggregate.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582r5q55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Escalation Rate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Escalated Alerts / Total Alerts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where Escalated is defined as Severity ∈ {High, Critical} AND Status ≠ Closed.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rationale:</w:t>
      </w:r>
      <w:r w:rsidDel="00000000" w:rsidR="00000000" w:rsidRPr="00000000">
        <w:rPr>
          <w:rtl w:val="0"/>
        </w:rPr>
        <w:t xml:space="preserve"> The dataset does not contain an explicit "Escalated" status value. Among alternative definitions considered (severity-only, status-only, playbook-based, score-threshold), the chosen formulation produces a semantically meaningful metric reflecting active high-priority workload. Documented in the Assumptions page; alternative definitions can be substituted with a single measure edit.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i644hfrfl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Avg Resolution Time (MTTR)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AVERAGE(updated_at − created_at)</w:t>
      </w:r>
      <w:r w:rsidDel="00000000" w:rsidR="00000000" w:rsidRPr="00000000">
        <w:rPr>
          <w:rtl w:val="0"/>
        </w:rPr>
        <w:t xml:space="preserve"> in minutes </w:t>
      </w: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Time elapsed between alert creation and most recent update (proxy for resolution). </w:t>
      </w:r>
      <w:r w:rsidDel="00000000" w:rsidR="00000000" w:rsidRPr="00000000">
        <w:rPr>
          <w:b w:val="1"/>
          <w:bCs w:val="1"/>
          <w:rtl w:val="0"/>
        </w:rPr>
        <w:t xml:space="preserve">Synthetic data result:</w:t>
      </w:r>
      <w:r w:rsidDel="00000000" w:rsidR="00000000" w:rsidRPr="00000000">
        <w:rPr>
          <w:rtl w:val="0"/>
        </w:rPr>
        <w:t xml:space="preserve"> Constant 5 minutes.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id0gjp7oy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Acceptance Criteria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deliverable will be considered complete when: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.pbix</w:t>
      </w:r>
      <w:r w:rsidDel="00000000" w:rsidR="00000000" w:rsidRPr="00000000">
        <w:rPr>
          <w:rtl w:val="0"/>
        </w:rPr>
        <w:t xml:space="preserve"> file opens without errors and refreshes successfully against the provided source files.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Must-priority functional requirements (FR-01 through FR-12) are demonstrably implemented.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non-functional requirements (NFR-01 through NFR-07) are satisfied.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two-view design demonstrates discernible differences in audience and purpose (executive vs. operational).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 and KPI logic match the descriptions in Sections 6 and 8.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styling is consistent across both pages per Section 9.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identified data quality findings are documented in the Assumptions section of this BRD or in the dashboard itself.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</w:p>
    <w:tbl>
      <w:tblPr>
        <w:tblStyle w:val="Table11"/>
        <w:tblW w:w="5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505"/>
        <w:gridCol w:w="1490"/>
        <w:gridCol w:w="1310"/>
        <w:tblGridChange w:id="0">
          <w:tblGrid>
            <w:gridCol w:w="1010"/>
            <w:gridCol w:w="1505"/>
            <w:gridCol w:w="149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14 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Initial draft</w:t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