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560" w:line="240" w:lineRule="auto"/>
        <w:jc w:val="center"/>
      </w:pPr>
      <w:r>
        <w:rPr>
          <w:rFonts w:ascii="Hiragino Sans GB" w:hAnsi="Hiragino Sans GB" w:eastAsia="Hiragino Sans GB"/>
          <w:b/>
          <w:color w:val="000000"/>
          <w:sz w:val="50"/>
        </w:rPr>
        <w:t>济南车路云数据上车总体方案</w:t>
      </w:r>
    </w:p>
    <w:p>
      <w:pPr>
        <w:spacing w:before="0" w:after="800" w:line="240" w:lineRule="auto"/>
        <w:jc w:val="center"/>
      </w:pPr>
      <w:r>
        <w:rPr>
          <w:rFonts w:ascii="Hiragino Sans GB" w:hAnsi="Hiragino Sans GB" w:eastAsia="Hiragino Sans GB"/>
          <w:b/>
          <w:color w:val="000000"/>
          <w:sz w:val="28"/>
        </w:rPr>
        <w:t>智能网联车辆及量产车数据上车服务规划与设计</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20"/>
              </w:rPr>
              <w:t>项目</w:t>
            </w:r>
          </w:p>
        </w:tc>
        <w:tc>
          <w:tcPr>
            <w:tcW w:type="dxa" w:w="799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20"/>
              </w:rPr>
              <w:t>内容</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20"/>
              </w:rPr>
              <w:t>文档版本</w:t>
            </w:r>
          </w:p>
        </w:tc>
        <w:tc>
          <w:tcPr>
            <w:tcW w:type="dxa" w:w="79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20"/>
              </w:rPr>
              <w:t>V1.0</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20"/>
              </w:rPr>
              <w:t>文档状态</w:t>
            </w:r>
          </w:p>
        </w:tc>
        <w:tc>
          <w:tcPr>
            <w:tcW w:type="dxa" w:w="79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20"/>
              </w:rPr>
              <w:t>评审稿</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20"/>
              </w:rPr>
              <w:t>文档日期</w:t>
            </w:r>
          </w:p>
        </w:tc>
        <w:tc>
          <w:tcPr>
            <w:tcW w:type="dxa" w:w="79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20"/>
              </w:rPr>
              <w:t>2026年9月14日</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20"/>
              </w:rPr>
              <w:t>文档用途</w:t>
            </w:r>
          </w:p>
        </w:tc>
        <w:tc>
          <w:tcPr>
            <w:tcW w:type="dxa" w:w="79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20"/>
              </w:rPr>
              <w:t>总体方案评审  车企技术交流  接口与测试立项</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20"/>
              </w:rPr>
              <w:t>适用对象</w:t>
            </w:r>
          </w:p>
        </w:tc>
        <w:tc>
          <w:tcPr>
            <w:tcW w:type="dxa" w:w="79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20"/>
              </w:rPr>
              <w:t>济南市相关主管部门  项目建设运营单位  主机厂  TSP及设备供应商</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20"/>
              </w:rPr>
              <w:t>范围边界</w:t>
            </w:r>
          </w:p>
        </w:tc>
        <w:tc>
          <w:tcPr>
            <w:tcW w:type="dxa" w:w="79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20"/>
              </w:rPr>
              <w:t>数据上车及反馈闭环  不包含未经车型安全论证的车辆执行器控制</w:t>
            </w:r>
          </w:p>
        </w:tc>
      </w:tr>
    </w:tbl>
    <w:p>
      <w:pPr>
        <w:spacing w:before="0" w:after="60" w:line="240" w:lineRule="auto"/>
      </w:pPr>
    </w:p>
    <w:p>
      <w:pPr>
        <w:spacing w:before="240" w:after="160" w:line="317" w:lineRule="auto"/>
      </w:pPr>
      <w:r>
        <w:rPr>
          <w:rFonts w:ascii="Hiragino Sans GB" w:hAnsi="Hiragino Sans GB" w:eastAsia="Hiragino Sans GB"/>
          <w:color w:val="000000"/>
          <w:sz w:val="22"/>
        </w:rPr>
        <w:t>本方案给出城市交通数据从权威源、路侧和云端进入智能网联车辆与后续量产车的总体架构、前置条件、车企输入、接口交互、车端与平台展示、场景设计、合规边界以及分阶段验收方法。核心建议是建设一套城市级V2X服务底座，以车辆能力画像驱动PC5、Uu和OEM TSP多通道路由，先完成信息与预警闭环，再以车型安全论证为门槛推进协同辅助驾驶。</w:t>
      </w:r>
    </w:p>
    <w:p>
      <w:pPr>
        <w:spacing w:before="0" w:after="0" w:line="317" w:lineRule="auto"/>
      </w:pPr>
      <w:r>
        <w:rPr>
          <w:rFonts w:ascii="Hiragino Sans GB" w:hAnsi="Hiragino Sans GB" w:eastAsia="Hiragino Sans GB"/>
          <w:b/>
          <w:color w:val="000000"/>
          <w:sz w:val="22"/>
        </w:rPr>
        <w:t xml:space="preserve">结论摘要  </w:t>
      </w:r>
      <w:r>
        <w:rPr>
          <w:rFonts w:ascii="Hiragino Sans GB" w:hAnsi="Hiragino Sans GB" w:eastAsia="Hiragino Sans GB"/>
          <w:color w:val="000000"/>
          <w:sz w:val="22"/>
        </w:rPr>
        <w:t>不能以设备安装、接口连通、消息发送或网络ACK代替数据质量、车端校验、实际展示和安全消费的最终验收。</w:t>
      </w:r>
      <w:r>
        <w:br w:type="page"/>
      </w:r>
    </w:p>
    <w:p>
      <w:pPr>
        <w:pStyle w:val="Heading1"/>
        <w:keepNext/>
        <w:spacing w:before="280" w:after="140" w:line="276" w:lineRule="auto"/>
      </w:pPr>
      <w:r>
        <w:rPr>
          <w:rFonts w:ascii="Hiragino Sans GB" w:hAnsi="Hiragino Sans GB" w:eastAsia="Hiragino Sans GB"/>
          <w:b/>
          <w:color w:val="000000"/>
          <w:sz w:val="32"/>
        </w:rPr>
        <w:t>目录</w:t>
      </w:r>
    </w:p>
    <w:p>
      <w:pPr>
        <w:pStyle w:val="ListBullet"/>
        <w:spacing w:before="0" w:after="60" w:line="300" w:lineRule="auto"/>
      </w:pPr>
      <w:r>
        <w:rPr>
          <w:rFonts w:ascii="Hiragino Sans GB" w:hAnsi="Hiragino Sans GB" w:eastAsia="Hiragino Sans GB"/>
          <w:color w:val="000000"/>
          <w:sz w:val="22"/>
        </w:rPr>
        <w:t>一 执行摘要</w:t>
      </w:r>
    </w:p>
    <w:p>
      <w:pPr>
        <w:pStyle w:val="ListBullet"/>
        <w:spacing w:before="0" w:after="60" w:line="300" w:lineRule="auto"/>
      </w:pPr>
      <w:r>
        <w:rPr>
          <w:rFonts w:ascii="Hiragino Sans GB" w:hAnsi="Hiragino Sans GB" w:eastAsia="Hiragino Sans GB"/>
          <w:color w:val="000000"/>
          <w:sz w:val="22"/>
        </w:rPr>
        <w:t>二 方案范围与基本判断</w:t>
      </w:r>
    </w:p>
    <w:p>
      <w:pPr>
        <w:pStyle w:val="ListBullet"/>
        <w:spacing w:before="0" w:after="60" w:line="300" w:lineRule="auto"/>
      </w:pPr>
      <w:r>
        <w:rPr>
          <w:rFonts w:ascii="Hiragino Sans GB" w:hAnsi="Hiragino Sans GB" w:eastAsia="Hiragino Sans GB"/>
          <w:color w:val="000000"/>
          <w:sz w:val="22"/>
        </w:rPr>
        <w:t>三 标准政策与证据基线</w:t>
      </w:r>
    </w:p>
    <w:p>
      <w:pPr>
        <w:pStyle w:val="ListBullet"/>
        <w:spacing w:before="0" w:after="60" w:line="300" w:lineRule="auto"/>
      </w:pPr>
      <w:r>
        <w:rPr>
          <w:rFonts w:ascii="Hiragino Sans GB" w:hAnsi="Hiragino Sans GB" w:eastAsia="Hiragino Sans GB"/>
          <w:color w:val="000000"/>
          <w:sz w:val="22"/>
        </w:rPr>
        <w:t>四 JTBD需求与成功标准</w:t>
      </w:r>
    </w:p>
    <w:p>
      <w:pPr>
        <w:pStyle w:val="ListBullet"/>
        <w:spacing w:before="0" w:after="60" w:line="300" w:lineRule="auto"/>
      </w:pPr>
      <w:r>
        <w:rPr>
          <w:rFonts w:ascii="Hiragino Sans GB" w:hAnsi="Hiragino Sans GB" w:eastAsia="Hiragino Sans GB"/>
          <w:color w:val="000000"/>
          <w:sz w:val="22"/>
        </w:rPr>
        <w:t>五 总体架构与数据交互链路</w:t>
      </w:r>
    </w:p>
    <w:p>
      <w:pPr>
        <w:pStyle w:val="ListBullet"/>
        <w:spacing w:before="0" w:after="60" w:line="300" w:lineRule="auto"/>
      </w:pPr>
      <w:r>
        <w:rPr>
          <w:rFonts w:ascii="Hiragino Sans GB" w:hAnsi="Hiragino Sans GB" w:eastAsia="Hiragino Sans GB"/>
          <w:color w:val="000000"/>
          <w:sz w:val="22"/>
        </w:rPr>
        <w:t>六 智能网联示范车与量产车接入方案</w:t>
      </w:r>
    </w:p>
    <w:p>
      <w:pPr>
        <w:pStyle w:val="ListBullet"/>
        <w:spacing w:before="0" w:after="60" w:line="300" w:lineRule="auto"/>
      </w:pPr>
      <w:r>
        <w:rPr>
          <w:rFonts w:ascii="Hiragino Sans GB" w:hAnsi="Hiragino Sans GB" w:eastAsia="Hiragino Sans GB"/>
          <w:color w:val="000000"/>
          <w:sz w:val="22"/>
        </w:rPr>
        <w:t>七 项目前置条件</w:t>
      </w:r>
    </w:p>
    <w:p>
      <w:pPr>
        <w:pStyle w:val="ListBullet"/>
        <w:spacing w:before="0" w:after="60" w:line="300" w:lineRule="auto"/>
      </w:pPr>
      <w:r>
        <w:rPr>
          <w:rFonts w:ascii="Hiragino Sans GB" w:hAnsi="Hiragino Sans GB" w:eastAsia="Hiragino Sans GB"/>
          <w:color w:val="000000"/>
          <w:sz w:val="22"/>
        </w:rPr>
        <w:t>八 车企输入与联合对接交付物</w:t>
      </w:r>
    </w:p>
    <w:p>
      <w:pPr>
        <w:pStyle w:val="ListBullet"/>
        <w:spacing w:before="0" w:after="60" w:line="300" w:lineRule="auto"/>
      </w:pPr>
      <w:r>
        <w:rPr>
          <w:rFonts w:ascii="Hiragino Sans GB" w:hAnsi="Hiragino Sans GB" w:eastAsia="Hiragino Sans GB"/>
          <w:color w:val="000000"/>
          <w:sz w:val="22"/>
        </w:rPr>
        <w:t>九 数据模型 接口与消息生命周期</w:t>
      </w:r>
    </w:p>
    <w:p>
      <w:pPr>
        <w:pStyle w:val="ListBullet"/>
        <w:spacing w:before="0" w:after="60" w:line="300" w:lineRule="auto"/>
      </w:pPr>
      <w:r>
        <w:rPr>
          <w:rFonts w:ascii="Hiragino Sans GB" w:hAnsi="Hiragino Sans GB" w:eastAsia="Hiragino Sans GB"/>
          <w:color w:val="000000"/>
          <w:sz w:val="22"/>
        </w:rPr>
        <w:t>十 重点场景设计</w:t>
      </w:r>
    </w:p>
    <w:p>
      <w:pPr>
        <w:pStyle w:val="ListBullet"/>
        <w:spacing w:before="0" w:after="60" w:line="300" w:lineRule="auto"/>
      </w:pPr>
      <w:r>
        <w:rPr>
          <w:rFonts w:ascii="Hiragino Sans GB" w:hAnsi="Hiragino Sans GB" w:eastAsia="Hiragino Sans GB"/>
          <w:color w:val="000000"/>
          <w:sz w:val="22"/>
        </w:rPr>
        <w:t>十一 车端与运营平台展示</w:t>
      </w:r>
    </w:p>
    <w:p>
      <w:pPr>
        <w:pStyle w:val="ListBullet"/>
        <w:spacing w:before="0" w:after="60" w:line="300" w:lineRule="auto"/>
      </w:pPr>
      <w:r>
        <w:rPr>
          <w:rFonts w:ascii="Hiragino Sans GB" w:hAnsi="Hiragino Sans GB" w:eastAsia="Hiragino Sans GB"/>
          <w:color w:val="000000"/>
          <w:sz w:val="22"/>
        </w:rPr>
        <w:t>十二 安全 数据与责任边界</w:t>
      </w:r>
    </w:p>
    <w:p>
      <w:pPr>
        <w:pStyle w:val="ListBullet"/>
        <w:spacing w:before="0" w:after="60" w:line="300" w:lineRule="auto"/>
      </w:pPr>
      <w:r>
        <w:rPr>
          <w:rFonts w:ascii="Hiragino Sans GB" w:hAnsi="Hiragino Sans GB" w:eastAsia="Hiragino Sans GB"/>
          <w:color w:val="000000"/>
          <w:sz w:val="22"/>
        </w:rPr>
        <w:t>十三 测试验收与运行指标</w:t>
      </w:r>
    </w:p>
    <w:p>
      <w:pPr>
        <w:pStyle w:val="ListBullet"/>
        <w:spacing w:before="0" w:after="60" w:line="300" w:lineRule="auto"/>
      </w:pPr>
      <w:r>
        <w:rPr>
          <w:rFonts w:ascii="Hiragino Sans GB" w:hAnsi="Hiragino Sans GB" w:eastAsia="Hiragino Sans GB"/>
          <w:color w:val="000000"/>
          <w:sz w:val="22"/>
        </w:rPr>
        <w:t>十四 分阶段建设路线</w:t>
      </w:r>
    </w:p>
    <w:p>
      <w:pPr>
        <w:pStyle w:val="ListBullet"/>
        <w:spacing w:before="0" w:after="60" w:line="300" w:lineRule="auto"/>
      </w:pPr>
      <w:r>
        <w:rPr>
          <w:rFonts w:ascii="Hiragino Sans GB" w:hAnsi="Hiragino Sans GB" w:eastAsia="Hiragino Sans GB"/>
          <w:color w:val="000000"/>
          <w:sz w:val="22"/>
        </w:rPr>
        <w:t>十五 风险与待核验项</w:t>
      </w:r>
    </w:p>
    <w:p>
      <w:pPr>
        <w:pStyle w:val="ListBullet"/>
        <w:spacing w:before="0" w:after="60" w:line="300" w:lineRule="auto"/>
      </w:pPr>
      <w:r>
        <w:rPr>
          <w:rFonts w:ascii="Hiragino Sans GB" w:hAnsi="Hiragino Sans GB" w:eastAsia="Hiragino Sans GB"/>
          <w:color w:val="000000"/>
          <w:sz w:val="22"/>
        </w:rPr>
        <w:t>附录A 车辆能力画像字段</w:t>
      </w:r>
    </w:p>
    <w:p>
      <w:pPr>
        <w:pStyle w:val="ListBullet"/>
        <w:spacing w:before="0" w:after="60" w:line="300" w:lineRule="auto"/>
      </w:pPr>
      <w:r>
        <w:rPr>
          <w:rFonts w:ascii="Hiragino Sans GB" w:hAnsi="Hiragino Sans GB" w:eastAsia="Hiragino Sans GB"/>
          <w:color w:val="000000"/>
          <w:sz w:val="22"/>
        </w:rPr>
        <w:t>附录B 场景最小字段集</w:t>
      </w:r>
    </w:p>
    <w:p>
      <w:pPr>
        <w:pStyle w:val="ListBullet"/>
        <w:spacing w:before="0" w:after="60" w:line="300" w:lineRule="auto"/>
      </w:pPr>
      <w:r>
        <w:rPr>
          <w:rFonts w:ascii="Hiragino Sans GB" w:hAnsi="Hiragino Sans GB" w:eastAsia="Hiragino Sans GB"/>
          <w:color w:val="000000"/>
          <w:sz w:val="22"/>
        </w:rPr>
        <w:t>附录C 联合责任矩阵</w:t>
      </w:r>
    </w:p>
    <w:p>
      <w:pPr>
        <w:pStyle w:val="ListBullet"/>
        <w:spacing w:before="0" w:after="60" w:line="300" w:lineRule="auto"/>
      </w:pPr>
      <w:r>
        <w:rPr>
          <w:rFonts w:ascii="Hiragino Sans GB" w:hAnsi="Hiragino Sans GB" w:eastAsia="Hiragino Sans GB"/>
          <w:color w:val="000000"/>
          <w:sz w:val="22"/>
        </w:rPr>
        <w:t>附录D 评审决策清单</w:t>
      </w:r>
    </w:p>
    <w:p>
      <w:pPr>
        <w:pStyle w:val="ListBullet"/>
        <w:spacing w:before="0" w:after="60" w:line="300" w:lineRule="auto"/>
      </w:pPr>
      <w:r>
        <w:rPr>
          <w:rFonts w:ascii="Hiragino Sans GB" w:hAnsi="Hiragino Sans GB" w:eastAsia="Hiragino Sans GB"/>
          <w:color w:val="000000"/>
          <w:sz w:val="22"/>
        </w:rPr>
        <w:t>附录E 主要依据与来源</w:t>
      </w:r>
    </w:p>
    <w:p>
      <w:pPr>
        <w:pStyle w:val="Heading1"/>
        <w:keepNext/>
        <w:spacing w:before="280" w:after="140" w:line="276" w:lineRule="auto"/>
      </w:pPr>
      <w:r>
        <w:rPr>
          <w:rFonts w:ascii="Hiragino Sans GB" w:hAnsi="Hiragino Sans GB" w:eastAsia="Hiragino Sans GB"/>
          <w:b/>
          <w:color w:val="000000"/>
          <w:sz w:val="32"/>
        </w:rPr>
        <w:t>一 执行摘要</w:t>
      </w:r>
    </w:p>
    <w:p>
      <w:pPr>
        <w:spacing w:before="0" w:after="120" w:line="317" w:lineRule="auto"/>
      </w:pPr>
      <w:r>
        <w:rPr>
          <w:rFonts w:ascii="Hiragino Sans GB" w:hAnsi="Hiragino Sans GB" w:eastAsia="Hiragino Sans GB"/>
          <w:b/>
          <w:color w:val="000000"/>
          <w:sz w:val="22"/>
        </w:rPr>
        <w:t xml:space="preserve">方案判断  </w:t>
      </w:r>
      <w:r>
        <w:rPr>
          <w:rFonts w:ascii="Hiragino Sans GB" w:hAnsi="Hiragino Sans GB" w:eastAsia="Hiragino Sans GB"/>
          <w:color w:val="000000"/>
          <w:sz w:val="22"/>
        </w:rPr>
        <w:t>不为信号灯、绿波、拥堵、弱势交通参与者和异常停车分别建设独立上车通道，也不为示范车与量产车重复建设两套平台。城市侧建设统一服务模型和消息生命周期，车端通过能力注册决定可接收场景、通道、频率、HMI等级和是否允许进入智驾域。</w:t>
      </w:r>
    </w:p>
    <w:p>
      <w:pPr>
        <w:spacing w:before="0" w:after="120" w:line="317" w:lineRule="auto"/>
      </w:pPr>
      <w:r>
        <w:rPr>
          <w:rFonts w:ascii="Hiragino Sans GB" w:hAnsi="Hiragino Sans GB" w:eastAsia="Hiragino Sans GB"/>
          <w:color w:val="000000"/>
          <w:sz w:val="22"/>
        </w:rPr>
        <w:t>济南已列入首批国家“车路云一体化”应用试点城市。国家试点要求按照车、路、云、网、图、安统筹建设，并形成中心云、区域云、边缘云的分级支撑体系。[S1][S2][S3] 但入选试点不代表现有信号、RSU、MEC、地图及平台已达到本方案的量产数据服务条件，仍须形成实测基线。</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9"/>
              </w:rPr>
              <w:t>关键决策</w:t>
            </w:r>
          </w:p>
        </w:tc>
        <w:tc>
          <w:tcPr>
            <w:tcW w:type="dxa" w:w="792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9"/>
              </w:rPr>
              <w:t>建议</w:t>
            </w:r>
          </w:p>
        </w:tc>
      </w:tr>
      <w:tr>
        <w:trPr>
          <w:cantSplit/>
        </w:trPr>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平台形态</w:t>
            </w:r>
          </w:p>
        </w:tc>
        <w:tc>
          <w:tcPr>
            <w:tcW w:type="dxa" w:w="79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一个城市级V2X服务中台  一个服务目录  一个事件ID体系  多通道适配</w:t>
            </w:r>
          </w:p>
        </w:tc>
      </w:tr>
      <w:tr>
        <w:trPr>
          <w:cantSplit/>
        </w:trPr>
        <w:tc>
          <w:tcPr>
            <w:tcW w:type="dxa" w:w="216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示范车路径</w:t>
            </w:r>
          </w:p>
        </w:tc>
        <w:tc>
          <w:tcPr>
            <w:tcW w:type="dxa" w:w="79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PC5与Uu双接入  允许后装OBU和工程车机  先形成真实道路证据</w:t>
            </w:r>
          </w:p>
        </w:tc>
      </w:tr>
      <w:tr>
        <w:trPr>
          <w:cantSplit/>
        </w:trPr>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量产车路径</w:t>
            </w:r>
          </w:p>
        </w:tc>
        <w:tc>
          <w:tcPr>
            <w:tcW w:type="dxa" w:w="79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以OEM TSP和原生T-Box为生产边界  前装OBU车型增加PC5增强</w:t>
            </w:r>
          </w:p>
        </w:tc>
      </w:tr>
      <w:tr>
        <w:trPr>
          <w:cantSplit/>
        </w:trPr>
        <w:tc>
          <w:tcPr>
            <w:tcW w:type="dxa" w:w="216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安全顺序</w:t>
            </w:r>
          </w:p>
        </w:tc>
        <w:tc>
          <w:tcPr>
            <w:tcW w:type="dxa" w:w="79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先信息  再预警  最后才是经过车型安全论证的协同辅助驾驶输入</w:t>
            </w:r>
          </w:p>
        </w:tc>
      </w:tr>
      <w:tr>
        <w:trPr>
          <w:cantSplit/>
        </w:trPr>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验收口径</w:t>
            </w:r>
          </w:p>
        </w:tc>
        <w:tc>
          <w:tcPr>
            <w:tcW w:type="dxa" w:w="79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数据正确  路车匹配  成功送达  车端校验  实际展示或消费  异常可退出  全程可追溯</w:t>
            </w:r>
          </w:p>
        </w:tc>
      </w:tr>
    </w:tbl>
    <w:p>
      <w:pPr>
        <w:spacing w:before="0" w:after="60" w:line="240" w:lineRule="auto"/>
      </w:pPr>
    </w:p>
    <w:p>
      <w:pPr>
        <w:pStyle w:val="Heading1"/>
        <w:keepNext/>
        <w:spacing w:before="280" w:after="140" w:line="276" w:lineRule="auto"/>
      </w:pPr>
      <w:r>
        <w:rPr>
          <w:rFonts w:ascii="Hiragino Sans GB" w:hAnsi="Hiragino Sans GB" w:eastAsia="Hiragino Sans GB"/>
          <w:b/>
          <w:color w:val="000000"/>
          <w:sz w:val="32"/>
        </w:rPr>
        <w:t>二 方案范围与基本判断</w:t>
      </w:r>
    </w:p>
    <w:p>
      <w:pPr>
        <w:pStyle w:val="Heading2"/>
        <w:keepNext/>
        <w:spacing w:before="180" w:after="100" w:line="276" w:lineRule="auto"/>
      </w:pPr>
      <w:r>
        <w:rPr>
          <w:rFonts w:ascii="Hiragino Sans GB" w:hAnsi="Hiragino Sans GB" w:eastAsia="Hiragino Sans GB"/>
          <w:b/>
          <w:color w:val="000000"/>
          <w:sz w:val="27"/>
        </w:rPr>
        <w:t>二点一 建设范围</w:t>
      </w:r>
    </w:p>
    <w:p>
      <w:pPr>
        <w:pStyle w:val="ListBullet"/>
        <w:spacing w:before="0" w:after="60" w:line="300" w:lineRule="auto"/>
      </w:pPr>
      <w:r>
        <w:rPr>
          <w:rFonts w:ascii="Hiragino Sans GB" w:hAnsi="Hiragino Sans GB" w:eastAsia="Hiragino Sans GB"/>
          <w:color w:val="000000"/>
          <w:sz w:val="22"/>
        </w:rPr>
        <w:t>覆盖交管信号、路侧感知、道路事件、地图和车辆状态等数据的接入、治理、融合、服务生成、分发、回执和审计。</w:t>
      </w:r>
    </w:p>
    <w:p>
      <w:pPr>
        <w:pStyle w:val="ListBullet"/>
        <w:spacing w:before="0" w:after="60" w:line="300" w:lineRule="auto"/>
      </w:pPr>
      <w:r>
        <w:rPr>
          <w:rFonts w:ascii="Hiragino Sans GB" w:hAnsi="Hiragino Sans GB" w:eastAsia="Hiragino Sans GB"/>
          <w:color w:val="000000"/>
          <w:sz w:val="22"/>
        </w:rPr>
        <w:t>覆盖当前智能网联测试或示范车辆，以及后续具备T-Box、原生座舱或前装C-V2X终端的量产车型。</w:t>
      </w:r>
    </w:p>
    <w:p>
      <w:pPr>
        <w:pStyle w:val="ListBullet"/>
        <w:spacing w:before="0" w:after="60" w:line="300" w:lineRule="auto"/>
      </w:pPr>
      <w:r>
        <w:rPr>
          <w:rFonts w:ascii="Hiragino Sans GB" w:hAnsi="Hiragino Sans GB" w:eastAsia="Hiragino Sans GB"/>
          <w:color w:val="000000"/>
          <w:sz w:val="22"/>
        </w:rPr>
        <w:t>重点覆盖交通信号灯上车提示、绿波车速引导、闯红灯风险、前方拥堵或队尾、超视距弱势交通参与者碰撞风险、异常停车或异常车辆。</w:t>
      </w:r>
    </w:p>
    <w:p>
      <w:pPr>
        <w:pStyle w:val="ListBullet"/>
        <w:spacing w:before="0" w:after="60" w:line="300" w:lineRule="auto"/>
      </w:pPr>
      <w:r>
        <w:rPr>
          <w:rFonts w:ascii="Hiragino Sans GB" w:hAnsi="Hiragino Sans GB" w:eastAsia="Hiragino Sans GB"/>
          <w:color w:val="000000"/>
          <w:sz w:val="22"/>
        </w:rPr>
        <w:t>覆盖城市运营平台的服务管理、质量监测、事件追踪、OEM与车辆能力管理、异常处置和运营分析。</w:t>
      </w:r>
    </w:p>
    <w:p>
      <w:pPr>
        <w:pStyle w:val="Heading2"/>
        <w:keepNext/>
        <w:spacing w:before="180" w:after="100" w:line="276" w:lineRule="auto"/>
      </w:pPr>
      <w:r>
        <w:rPr>
          <w:rFonts w:ascii="Hiragino Sans GB" w:hAnsi="Hiragino Sans GB" w:eastAsia="Hiragino Sans GB"/>
          <w:b/>
          <w:color w:val="000000"/>
          <w:sz w:val="27"/>
        </w:rPr>
        <w:t>二点二 边界</w:t>
      </w:r>
    </w:p>
    <w:p>
      <w:pPr>
        <w:pStyle w:val="ListBullet"/>
        <w:spacing w:before="0" w:after="60" w:line="300" w:lineRule="auto"/>
      </w:pPr>
      <w:r>
        <w:rPr>
          <w:rFonts w:ascii="Hiragino Sans GB" w:hAnsi="Hiragino Sans GB" w:eastAsia="Hiragino Sans GB"/>
          <w:color w:val="000000"/>
          <w:sz w:val="22"/>
        </w:rPr>
        <w:t>城市平台输出经验证的事实、风险和建议，不在第一阶段直接控制量产车辆的转向、制动或动力执行器。</w:t>
      </w:r>
    </w:p>
    <w:p>
      <w:pPr>
        <w:pStyle w:val="ListBullet"/>
        <w:spacing w:before="0" w:after="60" w:line="300" w:lineRule="auto"/>
      </w:pPr>
      <w:r>
        <w:rPr>
          <w:rFonts w:ascii="Hiragino Sans GB" w:hAnsi="Hiragino Sans GB" w:eastAsia="Hiragino Sans GB"/>
          <w:color w:val="000000"/>
          <w:sz w:val="22"/>
        </w:rPr>
        <w:t>信号灯数据的权威性来自交管授权系统，服务平台不自行改变灯态、相位或交通管制结论。</w:t>
      </w:r>
    </w:p>
    <w:p>
      <w:pPr>
        <w:pStyle w:val="ListBullet"/>
        <w:spacing w:before="0" w:after="60" w:line="300" w:lineRule="auto"/>
      </w:pPr>
      <w:r>
        <w:rPr>
          <w:rFonts w:ascii="Hiragino Sans GB" w:hAnsi="Hiragino Sans GB" w:eastAsia="Hiragino Sans GB"/>
          <w:color w:val="000000"/>
          <w:sz w:val="22"/>
        </w:rPr>
        <w:t>手机App和投屏可用于演示、存量车与一般信息提醒，但不作为碰撞类安全预警的唯一链路。</w:t>
      </w:r>
    </w:p>
    <w:p>
      <w:pPr>
        <w:pStyle w:val="ListBullet"/>
        <w:spacing w:before="0" w:after="60" w:line="300" w:lineRule="auto"/>
      </w:pPr>
      <w:r>
        <w:rPr>
          <w:rFonts w:ascii="Hiragino Sans GB" w:hAnsi="Hiragino Sans GB" w:eastAsia="Hiragino Sans GB"/>
          <w:color w:val="000000"/>
          <w:sz w:val="22"/>
        </w:rPr>
        <w:t>当前项目资料只能作为方案输入，不直接外推为已建成、已同步或已通过生产验收。</w:t>
      </w:r>
    </w:p>
    <w:p>
      <w:pPr>
        <w:pStyle w:val="Heading1"/>
        <w:keepNext/>
        <w:spacing w:before="280" w:after="140" w:line="276" w:lineRule="auto"/>
      </w:pPr>
      <w:r>
        <w:rPr>
          <w:rFonts w:ascii="Hiragino Sans GB" w:hAnsi="Hiragino Sans GB" w:eastAsia="Hiragino Sans GB"/>
          <w:b/>
          <w:color w:val="000000"/>
          <w:sz w:val="32"/>
        </w:rPr>
        <w:t>三 标准政策与证据基线</w:t>
      </w:r>
    </w:p>
    <w:p>
      <w:pPr>
        <w:spacing w:before="0" w:after="120" w:line="317" w:lineRule="auto"/>
      </w:pPr>
      <w:r>
        <w:rPr>
          <w:rFonts w:ascii="Hiragino Sans GB" w:hAnsi="Hiragino Sans GB" w:eastAsia="Hiragino Sans GB"/>
          <w:b/>
          <w:color w:val="000000"/>
          <w:sz w:val="22"/>
        </w:rPr>
        <w:t xml:space="preserve">标准采用原则  </w:t>
      </w:r>
      <w:r>
        <w:rPr>
          <w:rFonts w:ascii="Hiragino Sans GB" w:hAnsi="Hiragino Sans GB" w:eastAsia="Hiragino Sans GB"/>
          <w:color w:val="000000"/>
          <w:sz w:val="22"/>
        </w:rPr>
        <w:t>强制性国家标准和现行法律法规优先，其次采用现行推荐性国家标准、行业标准，再以T/CSAE团体标准和项目Profile补齐工程细节。标准名称相同并不代表接口可直接互通，项目仍需冻结版本、字段可选性、坐标和时间基准、扩展字段、错误码及兼容周期。</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层级</w:t>
            </w:r>
          </w:p>
        </w:tc>
        <w:tc>
          <w:tcPr>
            <w:tcW w:type="dxa" w:w="309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依据</w:t>
            </w:r>
          </w:p>
        </w:tc>
        <w:tc>
          <w:tcPr>
            <w:tcW w:type="dxa" w:w="388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项目用途</w:t>
            </w:r>
          </w:p>
        </w:tc>
        <w:tc>
          <w:tcPr>
            <w:tcW w:type="dxa" w:w="180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状态</w:t>
            </w:r>
          </w:p>
        </w:tc>
      </w:tr>
      <w:tr>
        <w:trPr>
          <w:cantSplit/>
        </w:trPr>
        <w:tc>
          <w:tcPr>
            <w:tcW w:type="dxa" w:w="12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国家试点</w:t>
            </w:r>
          </w:p>
        </w:tc>
        <w:tc>
          <w:tcPr>
            <w:tcW w:type="dxa" w:w="30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工信部联通装〔2023〕268号及工作问答</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车路云网图安统筹  三级云  跨域身份  安全监测</w:t>
            </w:r>
          </w:p>
        </w:tc>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现行政策 [S1][S2]</w:t>
            </w:r>
          </w:p>
        </w:tc>
      </w:tr>
      <w:tr>
        <w:trPr>
          <w:cantSplit/>
        </w:trPr>
        <w:tc>
          <w:tcPr>
            <w:tcW w:type="dxa" w:w="12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应用集</w:t>
            </w:r>
          </w:p>
        </w:tc>
        <w:tc>
          <w:tcPr>
            <w:tcW w:type="dxa" w:w="30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GB/T 44286.1及44286.2-2024</w:t>
            </w:r>
          </w:p>
        </w:tc>
        <w:tc>
          <w:tcPr>
            <w:tcW w:type="dxa" w:w="38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车辆辅助驾驶和车辆协同驾驶应用集</w:t>
            </w:r>
          </w:p>
        </w:tc>
        <w:tc>
          <w:tcPr>
            <w:tcW w:type="dxa" w:w="18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现行 [S6][S7]</w:t>
            </w:r>
          </w:p>
        </w:tc>
      </w:tr>
      <w:tr>
        <w:trPr>
          <w:cantSplit/>
        </w:trPr>
        <w:tc>
          <w:tcPr>
            <w:tcW w:type="dxa" w:w="12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交管接口</w:t>
            </w:r>
          </w:p>
        </w:tc>
        <w:tc>
          <w:tcPr>
            <w:tcW w:type="dxa" w:w="30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GB/T 46998-2025  GA/T 1743-2020</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交管车路协同接口  信号控制机信息发布</w:t>
            </w:r>
          </w:p>
        </w:tc>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现行 [S5][S12]</w:t>
            </w:r>
          </w:p>
        </w:tc>
      </w:tr>
      <w:tr>
        <w:trPr>
          <w:cantSplit/>
        </w:trPr>
        <w:tc>
          <w:tcPr>
            <w:tcW w:type="dxa" w:w="12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路侧设备</w:t>
            </w:r>
          </w:p>
        </w:tc>
        <w:tc>
          <w:tcPr>
            <w:tcW w:type="dxa" w:w="30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GB/T 44417-2024  YD/T 3755-2024</w:t>
            </w:r>
          </w:p>
        </w:tc>
        <w:tc>
          <w:tcPr>
            <w:tcW w:type="dxa" w:w="38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路侧协同控制设备和PC5路侧终端</w:t>
            </w:r>
          </w:p>
        </w:tc>
        <w:tc>
          <w:tcPr>
            <w:tcW w:type="dxa" w:w="18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现行 [S8][S10]</w:t>
            </w:r>
          </w:p>
        </w:tc>
      </w:tr>
      <w:tr>
        <w:trPr>
          <w:cantSplit/>
        </w:trPr>
        <w:tc>
          <w:tcPr>
            <w:tcW w:type="dxa" w:w="12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车载设备</w:t>
            </w:r>
          </w:p>
        </w:tc>
        <w:tc>
          <w:tcPr>
            <w:tcW w:type="dxa" w:w="30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GB/T 45315-2025  YD/T 3756-2024</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LTE-V2X直连车载信息交互系统和OBU</w:t>
            </w:r>
          </w:p>
        </w:tc>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现行 [S9][S11]</w:t>
            </w:r>
          </w:p>
        </w:tc>
      </w:tr>
      <w:tr>
        <w:trPr>
          <w:cantSplit/>
        </w:trPr>
        <w:tc>
          <w:tcPr>
            <w:tcW w:type="dxa" w:w="12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消息与云</w:t>
            </w:r>
          </w:p>
        </w:tc>
        <w:tc>
          <w:tcPr>
            <w:tcW w:type="dxa" w:w="30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T/CSAE 53  157  295.1  295.2  295.3  295.5</w:t>
            </w:r>
          </w:p>
        </w:tc>
        <w:tc>
          <w:tcPr>
            <w:tcW w:type="dxa" w:w="38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PC5消息  车云  路云  服务场景</w:t>
            </w:r>
          </w:p>
        </w:tc>
        <w:tc>
          <w:tcPr>
            <w:tcW w:type="dxa" w:w="18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团标与工程Profile [S4]</w:t>
            </w:r>
          </w:p>
        </w:tc>
      </w:tr>
      <w:tr>
        <w:trPr>
          <w:cantSplit/>
        </w:trPr>
        <w:tc>
          <w:tcPr>
            <w:tcW w:type="dxa" w:w="12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身份安全</w:t>
            </w:r>
          </w:p>
        </w:tc>
        <w:tc>
          <w:tcPr>
            <w:tcW w:type="dxa" w:w="30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GB/T 45112-2024</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LTE-V2X证书管理和生命周期</w:t>
            </w:r>
          </w:p>
        </w:tc>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现行 [S13]</w:t>
            </w:r>
          </w:p>
        </w:tc>
      </w:tr>
      <w:tr>
        <w:trPr>
          <w:cantSplit/>
        </w:trPr>
        <w:tc>
          <w:tcPr>
            <w:tcW w:type="dxa" w:w="12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整车产品</w:t>
            </w:r>
          </w:p>
        </w:tc>
        <w:tc>
          <w:tcPr>
            <w:tcW w:type="dxa" w:w="30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GB 44495  44496  44497-2024</w:t>
            </w:r>
          </w:p>
        </w:tc>
        <w:tc>
          <w:tcPr>
            <w:tcW w:type="dxa" w:w="38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网络安全  软件升级  自动驾驶数据记录</w:t>
            </w:r>
          </w:p>
        </w:tc>
        <w:tc>
          <w:tcPr>
            <w:tcW w:type="dxa" w:w="18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2026年1月实施 [S14]</w:t>
            </w:r>
          </w:p>
        </w:tc>
      </w:tr>
      <w:tr>
        <w:trPr>
          <w:cantSplit/>
        </w:trPr>
        <w:tc>
          <w:tcPr>
            <w:tcW w:type="dxa" w:w="12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近期路线</w:t>
            </w:r>
          </w:p>
        </w:tc>
        <w:tc>
          <w:tcPr>
            <w:tcW w:type="dxa" w:w="30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GB/T 47325-2026  GB 47955-2026  GB 44721-2026</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OTA安全  组合驾驶辅助  L3及L4自动驾驶</w:t>
            </w:r>
          </w:p>
        </w:tc>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按实施日期纳入量产 [S17][S18][S19]</w:t>
            </w:r>
          </w:p>
        </w:tc>
      </w:tr>
      <w:tr>
        <w:trPr>
          <w:cantSplit/>
        </w:trPr>
        <w:tc>
          <w:tcPr>
            <w:tcW w:type="dxa" w:w="12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数据合规</w:t>
            </w:r>
          </w:p>
        </w:tc>
        <w:tc>
          <w:tcPr>
            <w:tcW w:type="dxa" w:w="30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汽车数据安全规定  GB/T 44464-2024</w:t>
            </w:r>
          </w:p>
        </w:tc>
        <w:tc>
          <w:tcPr>
            <w:tcW w:type="dxa" w:w="38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最小必要  车内处理  脱敏  重要数据管理</w:t>
            </w:r>
          </w:p>
        </w:tc>
        <w:tc>
          <w:tcPr>
            <w:tcW w:type="dxa" w:w="18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现行 [S15][S16]</w:t>
            </w:r>
          </w:p>
        </w:tc>
      </w:tr>
    </w:tbl>
    <w:p>
      <w:pPr>
        <w:spacing w:before="0" w:after="60" w:line="240" w:lineRule="auto"/>
      </w:pPr>
    </w:p>
    <w:p>
      <w:pPr>
        <w:spacing w:before="0" w:after="120" w:line="317" w:lineRule="auto"/>
      </w:pPr>
      <w:r>
        <w:rPr>
          <w:rFonts w:ascii="Hiragino Sans GB" w:hAnsi="Hiragino Sans GB" w:eastAsia="Hiragino Sans GB"/>
          <w:b/>
          <w:color w:val="000000"/>
          <w:sz w:val="22"/>
        </w:rPr>
        <w:t xml:space="preserve">最新接口关注  </w:t>
      </w:r>
      <w:r>
        <w:rPr>
          <w:rFonts w:ascii="Hiragino Sans GB" w:hAnsi="Hiragino Sans GB" w:eastAsia="Hiragino Sans GB"/>
          <w:color w:val="000000"/>
          <w:sz w:val="22"/>
        </w:rPr>
        <w:t>GB/T 46998-2025已于2026年7月1日实施，是道路交通管理车路协同信息交换的重要现行依据。GB/T 47325-2026计划于2026年10月实施；GB 47955-2026和GB 44721-2026分别面向组合驾驶辅助及L3/L4自动驾驶，应提前进入量产设计，但在生效日前应明确标注“已发布 即将实施”。[S5][S17][S18][S19]</w:t>
      </w:r>
    </w:p>
    <w:p>
      <w:pPr>
        <w:pStyle w:val="Heading1"/>
        <w:keepNext/>
        <w:spacing w:before="280" w:after="140" w:line="276" w:lineRule="auto"/>
      </w:pPr>
      <w:r>
        <w:rPr>
          <w:rFonts w:ascii="Hiragino Sans GB" w:hAnsi="Hiragino Sans GB" w:eastAsia="Hiragino Sans GB"/>
          <w:b/>
          <w:color w:val="000000"/>
          <w:sz w:val="32"/>
        </w:rPr>
        <w:t>四 JTBD需求与成功标准</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角色</w:t>
            </w:r>
          </w:p>
        </w:tc>
        <w:tc>
          <w:tcPr>
            <w:tcW w:type="dxa" w:w="237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情境</w:t>
            </w:r>
          </w:p>
        </w:tc>
        <w:tc>
          <w:tcPr>
            <w:tcW w:type="dxa" w:w="3671"/>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核心任务</w:t>
            </w:r>
          </w:p>
        </w:tc>
        <w:tc>
          <w:tcPr>
            <w:tcW w:type="dxa" w:w="280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成功标准</w:t>
            </w:r>
          </w:p>
        </w:tc>
      </w:tr>
      <w:tr>
        <w:trPr>
          <w:cantSplit/>
        </w:trPr>
        <w:tc>
          <w:tcPr>
            <w:tcW w:type="dxa" w:w="12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驾驶人</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接近路口或不可见危险时</w:t>
            </w:r>
          </w:p>
        </w:tc>
        <w:tc>
          <w:tcPr>
            <w:tcW w:type="dxa" w:w="367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提前理解将发生什么  应如何安全行动</w:t>
            </w:r>
          </w:p>
        </w:tc>
        <w:tc>
          <w:tcPr>
            <w:tcW w:type="dxa" w:w="28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可信  及时  易懂  低打扰  可退出</w:t>
            </w:r>
          </w:p>
        </w:tc>
      </w:tr>
      <w:tr>
        <w:trPr>
          <w:cantSplit/>
        </w:trPr>
        <w:tc>
          <w:tcPr>
            <w:tcW w:type="dxa" w:w="122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车企</w:t>
            </w:r>
          </w:p>
        </w:tc>
        <w:tc>
          <w:tcPr>
            <w:tcW w:type="dxa" w:w="237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引入城市交通数据时</w:t>
            </w:r>
          </w:p>
        </w:tc>
        <w:tc>
          <w:tcPr>
            <w:tcW w:type="dxa" w:w="367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不扩大不可控数据源和产品责任风险  可进入车型发布体系</w:t>
            </w:r>
          </w:p>
        </w:tc>
        <w:tc>
          <w:tcPr>
            <w:tcW w:type="dxa" w:w="280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来源可证  性能可测  本车仲裁  可OTA回滚</w:t>
            </w:r>
          </w:p>
        </w:tc>
      </w:tr>
      <w:tr>
        <w:trPr>
          <w:cantSplit/>
        </w:trPr>
        <w:tc>
          <w:tcPr>
            <w:tcW w:type="dxa" w:w="12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城市运营方</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权威数据产生后</w:t>
            </w:r>
          </w:p>
        </w:tc>
        <w:tc>
          <w:tcPr>
            <w:tcW w:type="dxa" w:w="367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准确送达兼容车辆并证明实际效果</w:t>
            </w:r>
          </w:p>
        </w:tc>
        <w:tc>
          <w:tcPr>
            <w:tcW w:type="dxa" w:w="28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送达 展示 消费和异常全程可追溯</w:t>
            </w:r>
          </w:p>
        </w:tc>
      </w:tr>
      <w:tr>
        <w:trPr>
          <w:cantSplit/>
        </w:trPr>
        <w:tc>
          <w:tcPr>
            <w:tcW w:type="dxa" w:w="122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交管部门</w:t>
            </w:r>
          </w:p>
        </w:tc>
        <w:tc>
          <w:tcPr>
            <w:tcW w:type="dxa" w:w="237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对外发布信号和事件时</w:t>
            </w:r>
          </w:p>
        </w:tc>
        <w:tc>
          <w:tcPr>
            <w:tcW w:type="dxa" w:w="367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保持权威性  监管边界和事故取证能力</w:t>
            </w:r>
          </w:p>
        </w:tc>
        <w:tc>
          <w:tcPr>
            <w:tcW w:type="dxa" w:w="280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来源明确  发布受控  留痕完整</w:t>
            </w:r>
          </w:p>
        </w:tc>
      </w:tr>
      <w:tr>
        <w:trPr>
          <w:cantSplit/>
        </w:trPr>
        <w:tc>
          <w:tcPr>
            <w:tcW w:type="dxa" w:w="12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建设运营单位</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接入新OEM或新车型时</w:t>
            </w:r>
          </w:p>
        </w:tc>
        <w:tc>
          <w:tcPr>
            <w:tcW w:type="dxa" w:w="367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复用统一服务  降低重复开发与运维成本</w:t>
            </w:r>
          </w:p>
        </w:tc>
        <w:tc>
          <w:tcPr>
            <w:tcW w:type="dxa" w:w="28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能力协商  版本兼容  标准测试包</w:t>
            </w:r>
          </w:p>
        </w:tc>
      </w:tr>
    </w:tbl>
    <w:p>
      <w:pPr>
        <w:spacing w:before="0" w:after="60" w:line="240" w:lineRule="auto"/>
      </w:pPr>
    </w:p>
    <w:p>
      <w:pPr>
        <w:spacing w:before="0" w:after="120" w:line="317" w:lineRule="auto"/>
      </w:pPr>
      <w:r>
        <w:rPr>
          <w:rFonts w:ascii="Hiragino Sans GB" w:hAnsi="Hiragino Sans GB" w:eastAsia="Hiragino Sans GB"/>
          <w:b/>
          <w:color w:val="000000"/>
          <w:sz w:val="22"/>
        </w:rPr>
        <w:t xml:space="preserve">业务闭环  </w:t>
      </w:r>
      <w:r>
        <w:rPr>
          <w:rFonts w:ascii="Hiragino Sans GB" w:hAnsi="Hiragino Sans GB" w:eastAsia="Hiragino Sans GB"/>
          <w:color w:val="000000"/>
          <w:sz w:val="22"/>
        </w:rPr>
        <w:t>权威数据产生后，系统必须证明“质量合格—目标匹配—成功送达—车端通过校验—正确展示或被智驾消费—失效后退出—异常有责任人”。HTTP 200、MQTT PUBACK或消息队列入队，只证明链路中的一个技术节点，不证明驾驶人已看到或车辆已安全使用。</w:t>
      </w:r>
    </w:p>
    <w:p>
      <w:pPr>
        <w:pStyle w:val="Heading1"/>
        <w:keepNext/>
        <w:spacing w:before="280" w:after="140" w:line="276" w:lineRule="auto"/>
      </w:pPr>
      <w:r>
        <w:rPr>
          <w:rFonts w:ascii="Hiragino Sans GB" w:hAnsi="Hiragino Sans GB" w:eastAsia="Hiragino Sans GB"/>
          <w:b/>
          <w:color w:val="000000"/>
          <w:sz w:val="32"/>
        </w:rPr>
        <w:t>五 总体架构与数据交互链路</w:t>
      </w:r>
    </w:p>
    <w:p>
      <w:pPr>
        <w:pStyle w:val="Heading2"/>
        <w:keepNext/>
        <w:spacing w:before="180" w:after="100" w:line="276" w:lineRule="auto"/>
      </w:pPr>
      <w:r>
        <w:rPr>
          <w:rFonts w:ascii="Hiragino Sans GB" w:hAnsi="Hiragino Sans GB" w:eastAsia="Hiragino Sans GB"/>
          <w:b/>
          <w:color w:val="000000"/>
          <w:sz w:val="27"/>
        </w:rPr>
        <w:t>五点一 总体结构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层级</w:t>
            </w:r>
          </w:p>
        </w:tc>
        <w:tc>
          <w:tcPr>
            <w:tcW w:type="dxa" w:w="547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主要组成</w:t>
            </w:r>
          </w:p>
        </w:tc>
        <w:tc>
          <w:tcPr>
            <w:tcW w:type="dxa" w:w="316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主要输出</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数据源层</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交管信号机  交通安全与信息平台  雷视融合  RSU  施工事故气象  地图</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权威标识  源时间  质量位  有效期</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边缘层</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路口或路段MEC  目标识别跟踪  时空融合  局部风险计算</w:t>
            </w:r>
          </w:p>
        </w:tc>
        <w:tc>
          <w:tcPr>
            <w:tcW w:type="dxa" w:w="316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低时延结构化目标和局部事件</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区域云</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交通态势  信控服务  事件融合  路车匹配  服务编排</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区域级标准服务</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中心云</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数据目录  订阅发布  跨区服务  数据集模型  长期治理</w:t>
            </w:r>
          </w:p>
        </w:tc>
        <w:tc>
          <w:tcPr>
            <w:tcW w:type="dxa" w:w="316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共享能力和运营分析</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服务中台</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服务目录  车辆能力  质量门禁  地理围栏  去重  路由  审计</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统一事件  通道决策  生命周期</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接入通道</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PC5  Uu直连  OEM TSP  车端SDK或服务代理</w:t>
            </w:r>
          </w:p>
        </w:tc>
        <w:tc>
          <w:tcPr>
            <w:tcW w:type="dxa" w:w="316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按场景和车型能力分发</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车辆层</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OBU  T-Box  网关  座舱  地图匹配  ADAS或ADS</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验签  时效校验  本车融合  HMI或智驾消费</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五点二 端到端数据链路</w:t>
      </w:r>
    </w:p>
    <w:p>
      <w:pPr>
        <w:pStyle w:val="ListNumber"/>
        <w:spacing w:before="0" w:after="80" w:line="300" w:lineRule="auto"/>
      </w:pPr>
      <w:r>
        <w:rPr>
          <w:rFonts w:ascii="Hiragino Sans GB" w:hAnsi="Hiragino Sans GB" w:eastAsia="Hiragino Sans GB"/>
          <w:color w:val="000000"/>
          <w:sz w:val="22"/>
        </w:rPr>
        <w:t>源数据采集  信号控制机、路侧感知和授权事件源产生带源时间、源ID和状态质量的数据。</w:t>
      </w:r>
    </w:p>
    <w:p>
      <w:pPr>
        <w:pStyle w:val="ListNumber"/>
        <w:spacing w:before="0" w:after="80" w:line="300" w:lineRule="auto"/>
      </w:pPr>
      <w:r>
        <w:rPr>
          <w:rFonts w:ascii="Hiragino Sans GB" w:hAnsi="Hiragino Sans GB" w:eastAsia="Hiragino Sans GB"/>
          <w:color w:val="000000"/>
          <w:sz w:val="22"/>
        </w:rPr>
        <w:t>标准化与校验  适配厂商协议，完成坐标、单位、枚举、道路和车道编码转换，拒绝越界和过期数据。</w:t>
      </w:r>
    </w:p>
    <w:p>
      <w:pPr>
        <w:pStyle w:val="ListNumber"/>
        <w:spacing w:before="0" w:after="80" w:line="300" w:lineRule="auto"/>
      </w:pPr>
      <w:r>
        <w:rPr>
          <w:rFonts w:ascii="Hiragino Sans GB" w:hAnsi="Hiragino Sans GB" w:eastAsia="Hiragino Sans GB"/>
          <w:color w:val="000000"/>
          <w:sz w:val="22"/>
        </w:rPr>
        <w:t>边缘融合  对路侧目标进行识别、跟踪、去重和地图匹配，优先在边缘侧消减原始视频、点云和连续轨迹。</w:t>
      </w:r>
    </w:p>
    <w:p>
      <w:pPr>
        <w:pStyle w:val="ListNumber"/>
        <w:spacing w:before="0" w:after="80" w:line="300" w:lineRule="auto"/>
      </w:pPr>
      <w:r>
        <w:rPr>
          <w:rFonts w:ascii="Hiragino Sans GB" w:hAnsi="Hiragino Sans GB" w:eastAsia="Hiragino Sans GB"/>
          <w:color w:val="000000"/>
          <w:sz w:val="22"/>
        </w:rPr>
        <w:t>服务生成  按服务规则生成信号、建议、风险或事件，附带有效期、空间范围、置信度和推荐动作。</w:t>
      </w:r>
    </w:p>
    <w:p>
      <w:pPr>
        <w:pStyle w:val="ListNumber"/>
        <w:spacing w:before="0" w:after="80" w:line="300" w:lineRule="auto"/>
      </w:pPr>
      <w:r>
        <w:rPr>
          <w:rFonts w:ascii="Hiragino Sans GB" w:hAnsi="Hiragino Sans GB" w:eastAsia="Hiragino Sans GB"/>
          <w:color w:val="000000"/>
          <w:sz w:val="22"/>
        </w:rPr>
        <w:t>能力匹配  根据车型、软件版本、通道、地图、HMI和智驾等级选择目标车辆及数据粒度。</w:t>
      </w:r>
    </w:p>
    <w:p>
      <w:pPr>
        <w:pStyle w:val="ListNumber"/>
        <w:spacing w:before="0" w:after="80" w:line="300" w:lineRule="auto"/>
      </w:pPr>
      <w:r>
        <w:rPr>
          <w:rFonts w:ascii="Hiragino Sans GB" w:hAnsi="Hiragino Sans GB" w:eastAsia="Hiragino Sans GB"/>
          <w:color w:val="000000"/>
          <w:sz w:val="22"/>
        </w:rPr>
        <w:t>多通道路由  近场高时效场景优先MEC与PC5；广域和量产服务优先Uu及OEM TSP；双通道保持统一事件ID。</w:t>
      </w:r>
    </w:p>
    <w:p>
      <w:pPr>
        <w:pStyle w:val="ListNumber"/>
        <w:spacing w:before="0" w:after="80" w:line="300" w:lineRule="auto"/>
      </w:pPr>
      <w:r>
        <w:rPr>
          <w:rFonts w:ascii="Hiragino Sans GB" w:hAnsi="Hiragino Sans GB" w:eastAsia="Hiragino Sans GB"/>
          <w:color w:val="000000"/>
          <w:sz w:val="22"/>
        </w:rPr>
        <w:t>车端安全门控  完成验签、新鲜度、地图匹配、去重和本车传感器融合，再决定展示、抑制或交给智驾域。</w:t>
      </w:r>
    </w:p>
    <w:p>
      <w:pPr>
        <w:pStyle w:val="ListNumber"/>
        <w:spacing w:before="0" w:after="80" w:line="300" w:lineRule="auto"/>
      </w:pPr>
      <w:r>
        <w:rPr>
          <w:rFonts w:ascii="Hiragino Sans GB" w:hAnsi="Hiragino Sans GB" w:eastAsia="Hiragino Sans GB"/>
          <w:color w:val="000000"/>
          <w:sz w:val="22"/>
        </w:rPr>
        <w:t>反馈与运营  分别上报接收、校验、展示、抑制、消费、过期和错误，形成平台质量与场景效果闭环。</w:t>
      </w:r>
    </w:p>
    <w:p>
      <w:pPr>
        <w:pStyle w:val="Heading2"/>
        <w:keepNext/>
        <w:spacing w:before="180" w:after="100" w:line="276" w:lineRule="auto"/>
      </w:pPr>
      <w:r>
        <w:rPr>
          <w:rFonts w:ascii="Hiragino Sans GB" w:hAnsi="Hiragino Sans GB" w:eastAsia="Hiragino Sans GB"/>
          <w:b/>
          <w:color w:val="000000"/>
          <w:sz w:val="27"/>
        </w:rPr>
        <w:t>五点三 服务安全分级</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9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等级</w:t>
            </w:r>
          </w:p>
        </w:tc>
        <w:tc>
          <w:tcPr>
            <w:tcW w:type="dxa" w:w="216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定位</w:t>
            </w:r>
          </w:p>
        </w:tc>
        <w:tc>
          <w:tcPr>
            <w:tcW w:type="dxa" w:w="230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典型场景</w:t>
            </w:r>
          </w:p>
        </w:tc>
        <w:tc>
          <w:tcPr>
            <w:tcW w:type="dxa" w:w="216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允许输出</w:t>
            </w:r>
          </w:p>
        </w:tc>
        <w:tc>
          <w:tcPr>
            <w:tcW w:type="dxa" w:w="216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门禁</w:t>
            </w:r>
          </w:p>
        </w:tc>
      </w:tr>
      <w:tr>
        <w:trPr>
          <w:cantSplit/>
        </w:trPr>
        <w:tc>
          <w:tcPr>
            <w:tcW w:type="dxa" w:w="12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7"/>
              </w:rPr>
              <w:t>S0 信息</w:t>
            </w:r>
          </w:p>
        </w:tc>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环境事实和弱实时信息</w:t>
            </w:r>
          </w:p>
        </w:tc>
        <w:tc>
          <w:tcPr>
            <w:tcW w:type="dxa" w:w="230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普通信号状态  一般拥堵</w:t>
            </w:r>
          </w:p>
        </w:tc>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车机卡片  导航图层  语音</w:t>
            </w:r>
          </w:p>
        </w:tc>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来源和新鲜度合格</w:t>
            </w:r>
          </w:p>
        </w:tc>
      </w:tr>
      <w:tr>
        <w:trPr>
          <w:cantSplit/>
        </w:trPr>
        <w:tc>
          <w:tcPr>
            <w:tcW w:type="dxa" w:w="12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7"/>
              </w:rPr>
              <w:t>S1 建议</w:t>
            </w:r>
          </w:p>
        </w:tc>
        <w:tc>
          <w:tcPr>
            <w:tcW w:type="dxa" w:w="216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驾驶效率与舒适建议</w:t>
            </w:r>
          </w:p>
        </w:tc>
        <w:tc>
          <w:tcPr>
            <w:tcW w:type="dxa" w:w="230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GLOSA  车道或绕行建议</w:t>
            </w:r>
          </w:p>
        </w:tc>
        <w:tc>
          <w:tcPr>
            <w:tcW w:type="dxa" w:w="216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速度区间  平稳减速  绕行</w:t>
            </w:r>
          </w:p>
        </w:tc>
        <w:tc>
          <w:tcPr>
            <w:tcW w:type="dxa" w:w="216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不得违反限速和交通规则</w:t>
            </w:r>
          </w:p>
        </w:tc>
      </w:tr>
      <w:tr>
        <w:trPr>
          <w:cantSplit/>
        </w:trPr>
        <w:tc>
          <w:tcPr>
            <w:tcW w:type="dxa" w:w="12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7"/>
              </w:rPr>
              <w:t>S2 预警</w:t>
            </w:r>
          </w:p>
        </w:tc>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与安全相关的风险提示</w:t>
            </w:r>
          </w:p>
        </w:tc>
        <w:tc>
          <w:tcPr>
            <w:tcW w:type="dxa" w:w="230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闯红灯  队尾  VRU  异常停车</w:t>
            </w:r>
          </w:p>
        </w:tc>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视觉 声音  触觉预警</w:t>
            </w:r>
          </w:p>
        </w:tc>
        <w:tc>
          <w:tcPr>
            <w:tcW w:type="dxa" w:w="21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风险标定  误报漏报  低时延和退出验证</w:t>
            </w:r>
          </w:p>
        </w:tc>
      </w:tr>
      <w:tr>
        <w:trPr>
          <w:cantSplit/>
        </w:trPr>
        <w:tc>
          <w:tcPr>
            <w:tcW w:type="dxa" w:w="129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7"/>
              </w:rPr>
              <w:t>S3 协同控制输入</w:t>
            </w:r>
          </w:p>
        </w:tc>
        <w:tc>
          <w:tcPr>
            <w:tcW w:type="dxa" w:w="216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进入ADAS或ADS决策链</w:t>
            </w:r>
          </w:p>
        </w:tc>
        <w:tc>
          <w:tcPr>
            <w:tcW w:type="dxa" w:w="230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C-AEB  C-ACC等</w:t>
            </w:r>
          </w:p>
        </w:tc>
        <w:tc>
          <w:tcPr>
            <w:tcW w:type="dxa" w:w="216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结构化增强感知或决策输入</w:t>
            </w:r>
          </w:p>
        </w:tc>
        <w:tc>
          <w:tcPr>
            <w:tcW w:type="dxa" w:w="216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车型级功能安全 SOTIF 网络安全 准入和发布签字</w:t>
            </w:r>
          </w:p>
        </w:tc>
      </w:tr>
    </w:tbl>
    <w:p>
      <w:pPr>
        <w:spacing w:before="0" w:after="60" w:line="240" w:lineRule="auto"/>
      </w:pPr>
    </w:p>
    <w:p>
      <w:pPr>
        <w:pStyle w:val="Heading1"/>
        <w:keepNext/>
        <w:spacing w:before="280" w:after="140" w:line="276" w:lineRule="auto"/>
      </w:pPr>
      <w:r>
        <w:rPr>
          <w:rFonts w:ascii="Hiragino Sans GB" w:hAnsi="Hiragino Sans GB" w:eastAsia="Hiragino Sans GB"/>
          <w:b/>
          <w:color w:val="000000"/>
          <w:sz w:val="32"/>
        </w:rPr>
        <w:t>六 智能网联示范车与量产车接入方案</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项目</w:t>
            </w:r>
          </w:p>
        </w:tc>
        <w:tc>
          <w:tcPr>
            <w:tcW w:type="dxa" w:w="424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测试或示范车辆</w:t>
            </w:r>
          </w:p>
        </w:tc>
        <w:tc>
          <w:tcPr>
            <w:tcW w:type="dxa" w:w="424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量产车辆</w:t>
            </w:r>
          </w:p>
        </w:tc>
      </w:tr>
      <w:tr>
        <w:trPr>
          <w:cantSplit/>
        </w:trPr>
        <w:tc>
          <w:tcPr>
            <w:tcW w:type="dxa" w:w="15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主链路</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RSU—PC5—OBU与城市云—Uu双接入</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城市云—OEM TSP—T-Box为主  前装OBU增加PC5</w:t>
            </w:r>
          </w:p>
        </w:tc>
      </w:tr>
      <w:tr>
        <w:trPr>
          <w:cantSplit/>
        </w:trPr>
        <w:tc>
          <w:tcPr>
            <w:tcW w:type="dxa" w:w="158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终端</w:t>
            </w:r>
          </w:p>
        </w:tc>
        <w:tc>
          <w:tcPr>
            <w:tcW w:type="dxa" w:w="42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后装OBU  工程车机  独立屏幕均可</w:t>
            </w:r>
          </w:p>
        </w:tc>
        <w:tc>
          <w:tcPr>
            <w:tcW w:type="dxa" w:w="42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定型T-Box或OBU  HSM  天线  车载以太网或网关</w:t>
            </w:r>
          </w:p>
        </w:tc>
      </w:tr>
      <w:tr>
        <w:trPr>
          <w:cantSplit/>
        </w:trPr>
        <w:tc>
          <w:tcPr>
            <w:tcW w:type="dxa" w:w="15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展示</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工程车机或测试终端  支持录屏与数据回放</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原生仪表 HUD 中控 导航 语音  车型一致性</w:t>
            </w:r>
          </w:p>
        </w:tc>
      </w:tr>
      <w:tr>
        <w:trPr>
          <w:cantSplit/>
        </w:trPr>
        <w:tc>
          <w:tcPr>
            <w:tcW w:type="dxa" w:w="158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发布</w:t>
            </w:r>
          </w:p>
        </w:tc>
        <w:tc>
          <w:tcPr>
            <w:tcW w:type="dxa" w:w="42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测试租户  白名单  工程证书</w:t>
            </w:r>
          </w:p>
        </w:tc>
        <w:tc>
          <w:tcPr>
            <w:tcW w:type="dxa" w:w="42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需求定版  定点  DV/PV  生产一致性  OTA  售后</w:t>
            </w:r>
          </w:p>
        </w:tc>
      </w:tr>
      <w:tr>
        <w:trPr>
          <w:cantSplit/>
        </w:trPr>
        <w:tc>
          <w:tcPr>
            <w:tcW w:type="dxa" w:w="15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安全范围</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先信息和预警  对比PC5与Uu性能</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信息和预警可量产  控制输入单独立项</w:t>
            </w:r>
          </w:p>
        </w:tc>
      </w:tr>
      <w:tr>
        <w:trPr>
          <w:cantSplit/>
        </w:trPr>
        <w:tc>
          <w:tcPr>
            <w:tcW w:type="dxa" w:w="158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主要验收</w:t>
            </w:r>
          </w:p>
        </w:tc>
        <w:tc>
          <w:tcPr>
            <w:tcW w:type="dxa" w:w="42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数据正确  覆盖  时延  地图  去重  降级</w:t>
            </w:r>
          </w:p>
        </w:tc>
        <w:tc>
          <w:tcPr>
            <w:tcW w:type="dxa" w:w="42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车型适配  HMI  证书  OTA  准入  运营与召回闭环</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六点一 通道路由建议</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路径</w:t>
            </w:r>
          </w:p>
        </w:tc>
        <w:tc>
          <w:tcPr>
            <w:tcW w:type="dxa" w:w="230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适用场景</w:t>
            </w:r>
          </w:p>
        </w:tc>
        <w:tc>
          <w:tcPr>
            <w:tcW w:type="dxa" w:w="223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优势</w:t>
            </w:r>
          </w:p>
        </w:tc>
        <w:tc>
          <w:tcPr>
            <w:tcW w:type="dxa" w:w="252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主要约束</w:t>
            </w:r>
          </w:p>
        </w:tc>
        <w:tc>
          <w:tcPr>
            <w:tcW w:type="dxa" w:w="158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建议定位</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7"/>
              </w:rPr>
              <w:t>PC5直连</w:t>
            </w:r>
          </w:p>
        </w:tc>
        <w:tc>
          <w:tcPr>
            <w:tcW w:type="dxa" w:w="230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VRU  路口碰撞  近场异常停车  SPAT/MAP</w:t>
            </w:r>
          </w:p>
        </w:tc>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本地广播  低时延  弱运营商依赖</w:t>
            </w:r>
          </w:p>
        </w:tc>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需要OBU RSU覆盖 地图一致和证书互认</w:t>
            </w:r>
          </w:p>
        </w:tc>
        <w:tc>
          <w:tcPr>
            <w:tcW w:type="dxa" w:w="15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安全敏感近场主链</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7"/>
              </w:rPr>
              <w:t>Uu直达车端</w:t>
            </w:r>
          </w:p>
        </w:tc>
        <w:tc>
          <w:tcPr>
            <w:tcW w:type="dxa" w:w="230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信号 GLOSA 拥堵 广域事件</w:t>
            </w:r>
          </w:p>
        </w:tc>
        <w:tc>
          <w:tcPr>
            <w:tcW w:type="dxa" w:w="223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覆盖广  服务易升级</w:t>
            </w:r>
          </w:p>
        </w:tc>
        <w:tc>
          <w:tcPr>
            <w:tcW w:type="dxa" w:w="25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公网抖动和弱覆盖  不保证确定性时延</w:t>
            </w:r>
          </w:p>
        </w:tc>
        <w:tc>
          <w:tcPr>
            <w:tcW w:type="dxa" w:w="158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示范车广域主链</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7"/>
              </w:rPr>
              <w:t>OEM TSP</w:t>
            </w:r>
          </w:p>
        </w:tc>
        <w:tc>
          <w:tcPr>
            <w:tcW w:type="dxa" w:w="230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原生导航 仪表 HUD 批量车型</w:t>
            </w:r>
          </w:p>
        </w:tc>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进入OEM产品和运维体系</w:t>
            </w:r>
          </w:p>
        </w:tc>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多一跳  OEM接口与发布周期不同</w:t>
            </w:r>
          </w:p>
        </w:tc>
        <w:tc>
          <w:tcPr>
            <w:tcW w:type="dxa" w:w="15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量产首选边界</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7"/>
              </w:rPr>
              <w:t>手机或投屏</w:t>
            </w:r>
          </w:p>
        </w:tc>
        <w:tc>
          <w:tcPr>
            <w:tcW w:type="dxa" w:w="230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存量车 演示 一般提醒</w:t>
            </w:r>
          </w:p>
        </w:tc>
        <w:tc>
          <w:tcPr>
            <w:tcW w:type="dxa" w:w="223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上线快  改造低</w:t>
            </w:r>
          </w:p>
        </w:tc>
        <w:tc>
          <w:tcPr>
            <w:tcW w:type="dxa" w:w="25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定位 保活 HMI和安全域能力有限</w:t>
            </w:r>
          </w:p>
        </w:tc>
        <w:tc>
          <w:tcPr>
            <w:tcW w:type="dxa" w:w="158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过渡与辅助</w:t>
            </w:r>
          </w:p>
        </w:tc>
      </w:tr>
    </w:tbl>
    <w:p>
      <w:pPr>
        <w:spacing w:before="0" w:after="60" w:line="240" w:lineRule="auto"/>
      </w:pPr>
    </w:p>
    <w:p>
      <w:pPr>
        <w:spacing w:before="0" w:after="120" w:line="317" w:lineRule="auto"/>
      </w:pPr>
      <w:r>
        <w:rPr>
          <w:rFonts w:ascii="Hiragino Sans GB" w:hAnsi="Hiragino Sans GB" w:eastAsia="Hiragino Sans GB"/>
          <w:b/>
          <w:color w:val="000000"/>
          <w:sz w:val="22"/>
        </w:rPr>
        <w:t xml:space="preserve">量产原则  </w:t>
      </w:r>
      <w:r>
        <w:rPr>
          <w:rFonts w:ascii="Hiragino Sans GB" w:hAnsi="Hiragino Sans GB" w:eastAsia="Hiragino Sans GB"/>
          <w:color w:val="000000"/>
          <w:sz w:val="22"/>
        </w:rPr>
        <w:t>城市平台不直接连接每辆量产车的车辆控制总线。城市与OEM维护统一服务Profile和SLA，OEM负责把服务安全地送入车型TSP、T-Box、座舱或智驾域，并承担车型侧最终裁决和发布责任。</w:t>
      </w:r>
    </w:p>
    <w:p>
      <w:pPr>
        <w:pStyle w:val="Heading1"/>
        <w:keepNext/>
        <w:spacing w:before="280" w:after="140" w:line="276" w:lineRule="auto"/>
      </w:pPr>
      <w:r>
        <w:rPr>
          <w:rFonts w:ascii="Hiragino Sans GB" w:hAnsi="Hiragino Sans GB" w:eastAsia="Hiragino Sans GB"/>
          <w:b/>
          <w:color w:val="000000"/>
          <w:sz w:val="32"/>
        </w:rPr>
        <w:t>七 项目前置条件</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前置项</w:t>
            </w:r>
          </w:p>
        </w:tc>
        <w:tc>
          <w:tcPr>
            <w:tcW w:type="dxa" w:w="604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必须满足</w:t>
            </w:r>
          </w:p>
        </w:tc>
        <w:tc>
          <w:tcPr>
            <w:tcW w:type="dxa" w:w="252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验收证据</w:t>
            </w:r>
          </w:p>
        </w:tc>
      </w:tr>
      <w:tr>
        <w:trPr>
          <w:cantSplit/>
        </w:trPr>
        <w:tc>
          <w:tcPr>
            <w:tcW w:type="dxa" w:w="15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权威数据</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明确灯态 相位 配时 交通管制 施工事故等每类信息的权威源与发布责任人</w:t>
            </w:r>
          </w:p>
        </w:tc>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来源清单 数据授权 责任签字</w:t>
            </w:r>
          </w:p>
        </w:tc>
      </w:tr>
      <w:tr>
        <w:trPr>
          <w:cantSplit/>
        </w:trPr>
        <w:tc>
          <w:tcPr>
            <w:tcW w:type="dxa" w:w="151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路口模型</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完成路口 进口道 车道 连接关系 信号组停止线的MAP与SPAT关联</w:t>
            </w:r>
          </w:p>
        </w:tc>
        <w:tc>
          <w:tcPr>
            <w:tcW w:type="dxa" w:w="25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路口对账表 地图版本</w:t>
            </w:r>
          </w:p>
        </w:tc>
      </w:tr>
      <w:tr>
        <w:trPr>
          <w:cantSplit/>
        </w:trPr>
        <w:tc>
          <w:tcPr>
            <w:tcW w:type="dxa" w:w="15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时间与定位</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统一UTC时间和时间质量字段  形成车道级定位适用范围</w:t>
            </w:r>
          </w:p>
        </w:tc>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NTP或PTP基线 定位质量报告</w:t>
            </w:r>
          </w:p>
        </w:tc>
      </w:tr>
      <w:tr>
        <w:trPr>
          <w:cantSplit/>
        </w:trPr>
        <w:tc>
          <w:tcPr>
            <w:tcW w:type="dxa" w:w="151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基础设施</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完成5G PC5 RSU MEC覆盖和容量实测  明确盲区与故障切换</w:t>
            </w:r>
          </w:p>
        </w:tc>
        <w:tc>
          <w:tcPr>
            <w:tcW w:type="dxa" w:w="25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覆盖图  P50 P95 P99报告</w:t>
            </w:r>
          </w:p>
        </w:tc>
      </w:tr>
      <w:tr>
        <w:trPr>
          <w:cantSplit/>
        </w:trPr>
        <w:tc>
          <w:tcPr>
            <w:tcW w:type="dxa" w:w="15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平台能力</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服务目录 能力管理 消息路由 质量门禁 回执 审计 运行监控可用</w:t>
            </w:r>
          </w:p>
        </w:tc>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能力清单  环境和账号</w:t>
            </w:r>
          </w:p>
        </w:tc>
      </w:tr>
      <w:tr>
        <w:trPr>
          <w:cantSplit/>
        </w:trPr>
        <w:tc>
          <w:tcPr>
            <w:tcW w:type="dxa" w:w="151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地图合规</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涉及空间坐标 点云 影像 道路拓扑时完成测绘资质和安全要求</w:t>
            </w:r>
          </w:p>
        </w:tc>
        <w:tc>
          <w:tcPr>
            <w:tcW w:type="dxa" w:w="25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资质与审查材料 [S20]</w:t>
            </w:r>
          </w:p>
        </w:tc>
      </w:tr>
      <w:tr>
        <w:trPr>
          <w:cantSplit/>
        </w:trPr>
        <w:tc>
          <w:tcPr>
            <w:tcW w:type="dxa" w:w="15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安全合规</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完成数据分类分级 个人信息与重要数据识别 证书与密钥方案</w:t>
            </w:r>
          </w:p>
        </w:tc>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数据目录 风险评估 证书Profile</w:t>
            </w:r>
          </w:p>
        </w:tc>
      </w:tr>
      <w:tr>
        <w:trPr>
          <w:cantSplit/>
        </w:trPr>
        <w:tc>
          <w:tcPr>
            <w:tcW w:type="dxa" w:w="151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联合测试</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提供沙箱 仿真 错误注入 录制回放 样车 场地和开放道路条件</w:t>
            </w:r>
          </w:p>
        </w:tc>
        <w:tc>
          <w:tcPr>
            <w:tcW w:type="dxa" w:w="25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测试计划 DVP&amp;R和准出标准</w:t>
            </w:r>
          </w:p>
        </w:tc>
      </w:tr>
    </w:tbl>
    <w:p>
      <w:pPr>
        <w:spacing w:before="0" w:after="60" w:line="240" w:lineRule="auto"/>
      </w:pPr>
    </w:p>
    <w:p>
      <w:pPr>
        <w:spacing w:before="0" w:after="120" w:line="317" w:lineRule="auto"/>
      </w:pPr>
      <w:r>
        <w:rPr>
          <w:rFonts w:ascii="Hiragino Sans GB" w:hAnsi="Hiragino Sans GB" w:eastAsia="Hiragino Sans GB"/>
          <w:b/>
          <w:color w:val="000000"/>
          <w:sz w:val="22"/>
        </w:rPr>
        <w:t xml:space="preserve">门禁规则  </w:t>
      </w:r>
      <w:r>
        <w:rPr>
          <w:rFonts w:ascii="Hiragino Sans GB" w:hAnsi="Hiragino Sans GB" w:eastAsia="Hiragino Sans GB"/>
          <w:color w:val="000000"/>
          <w:sz w:val="22"/>
        </w:rPr>
        <w:t>任一场景缺少权威数据、道路和车道映射、时间质量、车型能力或合法授权时，系统必须给出“无法核验”或“服务暂不可用”及原因，不得使用缓存、固定默认值或预测值伪装实时服务。</w:t>
      </w:r>
    </w:p>
    <w:p>
      <w:pPr>
        <w:spacing w:before="0" w:after="120" w:line="317" w:lineRule="auto"/>
      </w:pPr>
      <w:r>
        <w:rPr>
          <w:rFonts w:ascii="Hiragino Sans GB" w:hAnsi="Hiragino Sans GB" w:eastAsia="Hiragino Sans GB"/>
          <w:b/>
          <w:color w:val="000000"/>
          <w:sz w:val="22"/>
        </w:rPr>
        <w:t xml:space="preserve">依赖变更规则  </w:t>
      </w:r>
      <w:r>
        <w:rPr>
          <w:rFonts w:ascii="Hiragino Sans GB" w:hAnsi="Hiragino Sans GB" w:eastAsia="Hiragino Sans GB"/>
          <w:color w:val="000000"/>
          <w:sz w:val="22"/>
        </w:rPr>
        <w:t>交管、信号机、RSU、MEC、地图、运营商及OEM等第三方材料和环境须按联合基线提供。延期、字段变化、版本不兼容或权限不足，应形成影响评估与变更单，由对应责任方确认新增工作量、工期和验收影响，不得默认由平台建设方无限兜底。</w:t>
      </w:r>
    </w:p>
    <w:p>
      <w:pPr>
        <w:pStyle w:val="Heading1"/>
        <w:keepNext/>
        <w:spacing w:before="280" w:after="140" w:line="276" w:lineRule="auto"/>
      </w:pPr>
      <w:r>
        <w:rPr>
          <w:rFonts w:ascii="Hiragino Sans GB" w:hAnsi="Hiragino Sans GB" w:eastAsia="Hiragino Sans GB"/>
          <w:b/>
          <w:color w:val="000000"/>
          <w:sz w:val="32"/>
        </w:rPr>
        <w:t>八 车企输入与联合对接交付物</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类别</w:t>
            </w:r>
          </w:p>
        </w:tc>
        <w:tc>
          <w:tcPr>
            <w:tcW w:type="dxa" w:w="604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OEM需提供</w:t>
            </w:r>
          </w:p>
        </w:tc>
        <w:tc>
          <w:tcPr>
            <w:tcW w:type="dxa" w:w="259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联合产出</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产品边界</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车型 年款 配置 SOP 投放区域 ODD  场景级信息/预警/智驾输入定义</w:t>
            </w:r>
          </w:p>
        </w:tc>
        <w:tc>
          <w:tcPr>
            <w:tcW w:type="dxa" w:w="25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车型—场景—能力矩阵</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硬件资源</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T-Box OBU PC5 Uu eSIM APN GNSS IMU HSM 天线 算力 存储 网关</w:t>
            </w:r>
          </w:p>
        </w:tc>
        <w:tc>
          <w:tcPr>
            <w:tcW w:type="dxa" w:w="25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BOM基线与资源预算</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车端软件</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BSP 协议栈 安全栈 地图匹配 融合 HMI 诊断 OTA 回滚</w:t>
            </w:r>
          </w:p>
        </w:tc>
        <w:tc>
          <w:tcPr>
            <w:tcW w:type="dxa" w:w="25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SDK适配和版本兼容矩阵</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车辆信号</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Vehicle API或DBC语义 单位 枚举 刷新率 有效位 超时和质量位</w:t>
            </w:r>
          </w:p>
        </w:tc>
        <w:tc>
          <w:tcPr>
            <w:tcW w:type="dxa" w:w="25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标准车辆状态映射表</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TSP接口</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鉴权 环境 限流 路由 订阅 回执 容量 监控 错误码 故障联系人</w:t>
            </w:r>
          </w:p>
        </w:tc>
        <w:tc>
          <w:tcPr>
            <w:tcW w:type="dxa" w:w="25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ICD和联调沙箱</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HMI规则</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仪表 HUD 导航 中控 语音能力  告警等级 冲突仲裁 驾驶分心约束</w:t>
            </w:r>
          </w:p>
        </w:tc>
        <w:tc>
          <w:tcPr>
            <w:tcW w:type="dxa" w:w="25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场景HMI规范和抑制规则</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身份安全</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VIN与设备映射责任  密钥注入  证书申请轮换吊销  异常终端处置</w:t>
            </w:r>
          </w:p>
        </w:tc>
        <w:tc>
          <w:tcPr>
            <w:tcW w:type="dxa" w:w="25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跨域信任和证书生命周期</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地图定位</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地图供应商 版本 车道级能力 定位精度与质量字段</w:t>
            </w:r>
          </w:p>
        </w:tc>
        <w:tc>
          <w:tcPr>
            <w:tcW w:type="dxa" w:w="25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编码映射和版本对账机制</w:t>
            </w:r>
          </w:p>
        </w:tc>
      </w:tr>
      <w:tr>
        <w:trPr>
          <w:cantSplit/>
        </w:trPr>
        <w:tc>
          <w:tcPr>
            <w:tcW w:type="dxa" w:w="14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测试发布</w:t>
            </w:r>
          </w:p>
        </w:tc>
        <w:tc>
          <w:tcPr>
            <w:tcW w:type="dxa" w:w="60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样车 台架 SIL HIL 场地 司机 缺陷 OTA窗口 发布和回滚签字人</w:t>
            </w:r>
          </w:p>
        </w:tc>
        <w:tc>
          <w:tcPr>
            <w:tcW w:type="dxa" w:w="25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DVP&amp;R  发布门禁和签字表</w:t>
            </w:r>
          </w:p>
        </w:tc>
      </w:tr>
      <w:tr>
        <w:trPr>
          <w:cantSplit/>
        </w:trPr>
        <w:tc>
          <w:tcPr>
            <w:tcW w:type="dxa" w:w="144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运营售后</w:t>
            </w:r>
          </w:p>
        </w:tc>
        <w:tc>
          <w:tcPr>
            <w:tcW w:type="dxa" w:w="60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7乘24联系人 用户投诉 事故取证 漏洞修复 召回和服务退役机制</w:t>
            </w:r>
          </w:p>
        </w:tc>
        <w:tc>
          <w:tcPr>
            <w:tcW w:type="dxa" w:w="25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运行手册和应急预案</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八点一 对接阶段</w:t>
      </w:r>
    </w:p>
    <w:p>
      <w:pPr>
        <w:pStyle w:val="ListNumber"/>
        <w:spacing w:before="0" w:after="80" w:line="300" w:lineRule="auto"/>
      </w:pPr>
      <w:r>
        <w:rPr>
          <w:rFonts w:ascii="Hiragino Sans GB" w:hAnsi="Hiragino Sans GB" w:eastAsia="Hiragino Sans GB"/>
          <w:color w:val="000000"/>
          <w:sz w:val="22"/>
        </w:rPr>
        <w:t>需求与责任冻结  确定场景等级、车型范围、数据权属、HMI和最终安全责任。</w:t>
      </w:r>
    </w:p>
    <w:p>
      <w:pPr>
        <w:pStyle w:val="ListNumber"/>
        <w:spacing w:before="0" w:after="80" w:line="300" w:lineRule="auto"/>
      </w:pPr>
      <w:r>
        <w:rPr>
          <w:rFonts w:ascii="Hiragino Sans GB" w:hAnsi="Hiragino Sans GB" w:eastAsia="Hiragino Sans GB"/>
          <w:color w:val="000000"/>
          <w:sz w:val="22"/>
        </w:rPr>
        <w:t>协议Profile冻结  确定标准版本、字段、坐标、时间、道路编码、证书和错误码。</w:t>
      </w:r>
    </w:p>
    <w:p>
      <w:pPr>
        <w:pStyle w:val="ListNumber"/>
        <w:spacing w:before="0" w:after="80" w:line="300" w:lineRule="auto"/>
      </w:pPr>
      <w:r>
        <w:rPr>
          <w:rFonts w:ascii="Hiragino Sans GB" w:hAnsi="Hiragino Sans GB" w:eastAsia="Hiragino Sans GB"/>
          <w:color w:val="000000"/>
          <w:sz w:val="22"/>
        </w:rPr>
        <w:t>云云联调  城市平台与OEM TSP在沙箱完成能力、订阅、消息、回执和异常测试。</w:t>
      </w:r>
    </w:p>
    <w:p>
      <w:pPr>
        <w:pStyle w:val="ListNumber"/>
        <w:spacing w:before="0" w:after="80" w:line="300" w:lineRule="auto"/>
      </w:pPr>
      <w:r>
        <w:rPr>
          <w:rFonts w:ascii="Hiragino Sans GB" w:hAnsi="Hiragino Sans GB" w:eastAsia="Hiragino Sans GB"/>
          <w:color w:val="000000"/>
          <w:sz w:val="22"/>
        </w:rPr>
        <w:t>工程车联调  完成端到端时间线、HMI、双通道去重、断链和版本回滚。</w:t>
      </w:r>
    </w:p>
    <w:p>
      <w:pPr>
        <w:pStyle w:val="ListNumber"/>
        <w:spacing w:before="0" w:after="80" w:line="300" w:lineRule="auto"/>
      </w:pPr>
      <w:r>
        <w:rPr>
          <w:rFonts w:ascii="Hiragino Sans GB" w:hAnsi="Hiragino Sans GB" w:eastAsia="Hiragino Sans GB"/>
          <w:color w:val="000000"/>
          <w:sz w:val="22"/>
        </w:rPr>
        <w:t>分级测试  依次完成仿真、SIL/HIL、封闭场地和开放道路测试。</w:t>
      </w:r>
    </w:p>
    <w:p>
      <w:pPr>
        <w:pStyle w:val="ListNumber"/>
        <w:spacing w:before="0" w:after="80" w:line="300" w:lineRule="auto"/>
      </w:pPr>
      <w:r>
        <w:rPr>
          <w:rFonts w:ascii="Hiragino Sans GB" w:hAnsi="Hiragino Sans GB" w:eastAsia="Hiragino Sans GB"/>
          <w:color w:val="000000"/>
          <w:sz w:val="22"/>
        </w:rPr>
        <w:t>量产发布  进入车型DV/PV、生产一致性、证书注入、OTA、售后和召回流程。</w:t>
      </w:r>
    </w:p>
    <w:p>
      <w:pPr>
        <w:pStyle w:val="Heading1"/>
        <w:keepNext/>
        <w:spacing w:before="280" w:after="140" w:line="276" w:lineRule="auto"/>
      </w:pPr>
      <w:r>
        <w:rPr>
          <w:rFonts w:ascii="Hiragino Sans GB" w:hAnsi="Hiragino Sans GB" w:eastAsia="Hiragino Sans GB"/>
          <w:b/>
          <w:color w:val="000000"/>
          <w:sz w:val="32"/>
        </w:rPr>
        <w:t>九 数据模型 接口与消息生命周期</w:t>
      </w:r>
    </w:p>
    <w:p>
      <w:pPr>
        <w:pStyle w:val="Heading2"/>
        <w:keepNext/>
        <w:spacing w:before="180" w:after="100" w:line="276" w:lineRule="auto"/>
      </w:pPr>
      <w:r>
        <w:rPr>
          <w:rFonts w:ascii="Hiragino Sans GB" w:hAnsi="Hiragino Sans GB" w:eastAsia="Hiragino Sans GB"/>
          <w:b/>
          <w:color w:val="000000"/>
          <w:sz w:val="27"/>
        </w:rPr>
        <w:t>九点一 管理面能力</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9"/>
              </w:rPr>
              <w:t>能力</w:t>
            </w:r>
          </w:p>
        </w:tc>
        <w:tc>
          <w:tcPr>
            <w:tcW w:type="dxa" w:w="784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9"/>
              </w:rPr>
              <w:t>核心字段</w:t>
            </w:r>
          </w:p>
        </w:tc>
      </w:tr>
      <w:tr>
        <w:trPr>
          <w:cantSplit/>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合作方注册</w:t>
            </w:r>
          </w:p>
        </w:tc>
        <w:tc>
          <w:tcPr>
            <w:tcW w:type="dxa" w:w="78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租户 回调地址 证书 配额 服务权限</w:t>
            </w:r>
          </w:p>
        </w:tc>
      </w:tr>
      <w:tr>
        <w:trPr>
          <w:cantSplit/>
        </w:trPr>
        <w:tc>
          <w:tcPr>
            <w:tcW w:type="dxa" w:w="223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车辆能力注册</w:t>
            </w:r>
          </w:p>
        </w:tc>
        <w:tc>
          <w:tcPr>
            <w:tcW w:type="dxa" w:w="78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车型 年款 软件 通道 消息集 HMI 地图 最大频率</w:t>
            </w:r>
          </w:p>
        </w:tc>
      </w:tr>
      <w:tr>
        <w:trPr>
          <w:cantSplit/>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服务目录</w:t>
            </w:r>
          </w:p>
        </w:tc>
        <w:tc>
          <w:tcPr>
            <w:tcW w:type="dxa" w:w="78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服务编码 版本 覆盖 最低能力 安全等级 状态</w:t>
            </w:r>
          </w:p>
        </w:tc>
      </w:tr>
      <w:tr>
        <w:trPr>
          <w:cantSplit/>
        </w:trPr>
        <w:tc>
          <w:tcPr>
            <w:tcW w:type="dxa" w:w="223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订阅管理</w:t>
            </w:r>
          </w:p>
        </w:tc>
        <w:tc>
          <w:tcPr>
            <w:tcW w:type="dxa" w:w="78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位置 路线走廊 行政区 服务类别 有效期</w:t>
            </w:r>
          </w:p>
        </w:tc>
      </w:tr>
      <w:tr>
        <w:trPr>
          <w:cantSplit/>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证书管理</w:t>
            </w:r>
          </w:p>
        </w:tc>
        <w:tc>
          <w:tcPr>
            <w:tcW w:type="dxa" w:w="78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申请 注入 轮换 吊销 CRL 异常终端处置</w:t>
            </w:r>
          </w:p>
        </w:tc>
      </w:tr>
      <w:tr>
        <w:trPr>
          <w:cantSplit/>
        </w:trPr>
        <w:tc>
          <w:tcPr>
            <w:tcW w:type="dxa" w:w="223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配置发布</w:t>
            </w:r>
          </w:p>
        </w:tc>
        <w:tc>
          <w:tcPr>
            <w:tcW w:type="dxa" w:w="78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频控 优先级 展示 灰度 降级 回滚</w:t>
            </w:r>
          </w:p>
        </w:tc>
      </w:tr>
      <w:tr>
        <w:trPr>
          <w:cantSplit/>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9"/>
              </w:rPr>
              <w:t>软件报告</w:t>
            </w:r>
          </w:p>
        </w:tc>
        <w:tc>
          <w:tcPr>
            <w:tcW w:type="dxa" w:w="78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9"/>
              </w:rPr>
              <w:t>车端版本 安装结果 失败原因 回滚和覆盖率</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九点二 车辆最小上行数据</w:t>
      </w:r>
    </w:p>
    <w:p>
      <w:pPr>
        <w:pStyle w:val="ListBullet"/>
        <w:spacing w:before="0" w:after="60" w:line="300" w:lineRule="auto"/>
      </w:pPr>
      <w:r>
        <w:rPr>
          <w:rFonts w:ascii="Hiragino Sans GB" w:hAnsi="Hiragino Sans GB" w:eastAsia="Hiragino Sans GB"/>
          <w:color w:val="000000"/>
          <w:sz w:val="22"/>
        </w:rPr>
        <w:t>可轮换的车辆或终端匿名标识  车型能力  软件和地图版本。</w:t>
      </w:r>
    </w:p>
    <w:p>
      <w:pPr>
        <w:pStyle w:val="ListBullet"/>
        <w:spacing w:before="0" w:after="60" w:line="300" w:lineRule="auto"/>
      </w:pPr>
      <w:r>
        <w:rPr>
          <w:rFonts w:ascii="Hiragino Sans GB" w:hAnsi="Hiragino Sans GB" w:eastAsia="Hiragino Sans GB"/>
          <w:color w:val="000000"/>
          <w:sz w:val="22"/>
        </w:rPr>
        <w:t>源时间  位置  定位质量  速度  航向  加速度及场景必要的制动 转向灯 挡位等语义状态。</w:t>
      </w:r>
    </w:p>
    <w:p>
      <w:pPr>
        <w:pStyle w:val="ListBullet"/>
        <w:spacing w:before="0" w:after="60" w:line="300" w:lineRule="auto"/>
      </w:pPr>
      <w:r>
        <w:rPr>
          <w:rFonts w:ascii="Hiragino Sans GB" w:hAnsi="Hiragino Sans GB" w:eastAsia="Hiragino Sans GB"/>
          <w:color w:val="000000"/>
          <w:sz w:val="22"/>
        </w:rPr>
        <w:t>当前道路  车道  路线走廊或目标行驶方向  按场景最小化采集。</w:t>
      </w:r>
    </w:p>
    <w:p>
      <w:pPr>
        <w:pStyle w:val="ListBullet"/>
        <w:spacing w:before="0" w:after="60" w:line="300" w:lineRule="auto"/>
      </w:pPr>
      <w:r>
        <w:rPr>
          <w:rFonts w:ascii="Hiragino Sans GB" w:hAnsi="Hiragino Sans GB" w:eastAsia="Hiragino Sans GB"/>
          <w:color w:val="000000"/>
          <w:sz w:val="22"/>
        </w:rPr>
        <w:t>PC5和Uu网络质量  时钟同步状态  车端服务健康状态。</w:t>
      </w:r>
    </w:p>
    <w:p>
      <w:pPr>
        <w:pStyle w:val="ListBullet"/>
        <w:spacing w:before="0" w:after="60" w:line="300" w:lineRule="auto"/>
      </w:pPr>
      <w:r>
        <w:rPr>
          <w:rFonts w:ascii="Hiragino Sans GB" w:hAnsi="Hiragino Sans GB" w:eastAsia="Hiragino Sans GB"/>
          <w:color w:val="000000"/>
          <w:sz w:val="22"/>
        </w:rPr>
        <w:t>接收 校验 展示 抑制 消费 过期 用户动作和错误原因。</w:t>
      </w:r>
    </w:p>
    <w:p>
      <w:pPr>
        <w:spacing w:before="0" w:after="120" w:line="317" w:lineRule="auto"/>
      </w:pPr>
      <w:r>
        <w:rPr>
          <w:rFonts w:ascii="Hiragino Sans GB" w:hAnsi="Hiragino Sans GB" w:eastAsia="Hiragino Sans GB"/>
          <w:b/>
          <w:color w:val="000000"/>
          <w:sz w:val="22"/>
        </w:rPr>
        <w:t xml:space="preserve">隐私建议  </w:t>
      </w:r>
      <w:r>
        <w:rPr>
          <w:rFonts w:ascii="Hiragino Sans GB" w:hAnsi="Hiragino Sans GB" w:eastAsia="Hiragino Sans GB"/>
          <w:color w:val="000000"/>
          <w:sz w:val="22"/>
        </w:rPr>
        <w:t>VIN及终端实名映射原则上保留在OEM侧，城市平台使用可轮换服务标识；城市平台不直接索取全量原始CAN或DBC数据，而由OEM网关转换为已审批的标准语义字段。</w:t>
      </w:r>
    </w:p>
    <w:p>
      <w:pPr>
        <w:pStyle w:val="Heading2"/>
        <w:keepNext/>
        <w:spacing w:before="180" w:after="100" w:line="276" w:lineRule="auto"/>
      </w:pPr>
      <w:r>
        <w:rPr>
          <w:rFonts w:ascii="Hiragino Sans GB" w:hAnsi="Hiragino Sans GB" w:eastAsia="Hiragino Sans GB"/>
          <w:b/>
          <w:color w:val="000000"/>
          <w:sz w:val="27"/>
        </w:rPr>
        <w:t>九点三 统一下行消息信封</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字段组</w:t>
            </w:r>
          </w:p>
        </w:tc>
        <w:tc>
          <w:tcPr>
            <w:tcW w:type="dxa" w:w="547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建议字段</w:t>
            </w:r>
          </w:p>
        </w:tc>
        <w:tc>
          <w:tcPr>
            <w:tcW w:type="dxa" w:w="2951"/>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作用</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标识版本</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schemaVersion  messageId  eventId  revision  serviceCode</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兼容 去重 修订和取消</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来源时间</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sourceOrg  sourceDevice  sourceTime  generatedTime  expiresAt</w:t>
            </w:r>
          </w:p>
        </w:tc>
        <w:tc>
          <w:tcPr>
            <w:tcW w:type="dxa" w:w="295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来源和新鲜度判断</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空间对象</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geoScope  roadId  intersectionId  laneId  mapVersion  direction</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路车与车道匹配</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质量风险</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priority  severity  confidence  qualityFlags  observedOrPredicted</w:t>
            </w:r>
          </w:p>
        </w:tc>
        <w:tc>
          <w:tcPr>
            <w:tcW w:type="dxa" w:w="295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展示和安全门控</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业务载荷</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payload  recommendation  applicableCapabilities</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场景事实 风险或建议</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安全审计</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signature  certificateRef  traceId</w:t>
            </w:r>
          </w:p>
        </w:tc>
        <w:tc>
          <w:tcPr>
            <w:tcW w:type="dxa" w:w="295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验签 身份和全链路追踪</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九点四 消息生命周期与回执</w:t>
      </w:r>
    </w:p>
    <w:p>
      <w:pPr>
        <w:spacing w:before="0" w:after="120" w:line="317" w:lineRule="auto"/>
      </w:pPr>
      <w:r>
        <w:rPr>
          <w:rFonts w:ascii="Hiragino Sans GB" w:hAnsi="Hiragino Sans GB" w:eastAsia="Hiragino Sans GB"/>
          <w:color w:val="000000"/>
          <w:sz w:val="22"/>
        </w:rPr>
        <w:t>正常状态流  CREATED → QUALIFIED → ROUTED → TRANSPORT_ACK → VEHICLE_VALIDATED → PRESENTED或CONSUMED。</w:t>
      </w:r>
    </w:p>
    <w:p>
      <w:pPr>
        <w:spacing w:before="0" w:after="120" w:line="317" w:lineRule="auto"/>
      </w:pPr>
      <w:r>
        <w:rPr>
          <w:rFonts w:ascii="Hiragino Sans GB" w:hAnsi="Hiragino Sans GB" w:eastAsia="Hiragino Sans GB"/>
          <w:color w:val="000000"/>
          <w:sz w:val="22"/>
        </w:rPr>
        <w:t>异常出口  REJECTED  SUPPRESSED  EXPIRED  CANCELLED  UNVERIFIABLE。每个异常必须包含reasonCode、发生节点、源时间、车型或软件版本和责任归属。</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状态</w:t>
            </w:r>
          </w:p>
        </w:tc>
        <w:tc>
          <w:tcPr>
            <w:tcW w:type="dxa" w:w="388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证明什么</w:t>
            </w:r>
          </w:p>
        </w:tc>
        <w:tc>
          <w:tcPr>
            <w:tcW w:type="dxa" w:w="410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不能证明什么</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TRANSPORT_ACK</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消息到达传输对端或中间网关</w:t>
            </w:r>
          </w:p>
        </w:tc>
        <w:tc>
          <w:tcPr>
            <w:tcW w:type="dxa" w:w="410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不证明车端通过校验或驾驶人看到</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VEHICLE_VALIDATED</w:t>
            </w:r>
          </w:p>
        </w:tc>
        <w:tc>
          <w:tcPr>
            <w:tcW w:type="dxa" w:w="38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车端通过验签 时效和基本语义校验</w:t>
            </w:r>
          </w:p>
        </w:tc>
        <w:tc>
          <w:tcPr>
            <w:tcW w:type="dxa" w:w="410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不证明已展示或进入智驾算法</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PRESENTED</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座舱实际触发展示或语音</w:t>
            </w:r>
          </w:p>
        </w:tc>
        <w:tc>
          <w:tcPr>
            <w:tcW w:type="dxa" w:w="410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不证明驾驶人采取动作</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CONSUMED</w:t>
            </w:r>
          </w:p>
        </w:tc>
        <w:tc>
          <w:tcPr>
            <w:tcW w:type="dxa" w:w="38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智驾域已接收并纳入本地决策流程</w:t>
            </w:r>
          </w:p>
        </w:tc>
        <w:tc>
          <w:tcPr>
            <w:tcW w:type="dxa" w:w="410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不等同执行器已动作</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SUPPRESSED</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因优先级 重复 低质量或能力不符被抑制</w:t>
            </w:r>
          </w:p>
        </w:tc>
        <w:tc>
          <w:tcPr>
            <w:tcW w:type="dxa" w:w="410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不能简单计入送达失败</w:t>
            </w:r>
          </w:p>
        </w:tc>
      </w:tr>
    </w:tbl>
    <w:p>
      <w:pPr>
        <w:spacing w:before="0" w:after="60" w:line="240" w:lineRule="auto"/>
      </w:pPr>
    </w:p>
    <w:p>
      <w:pPr>
        <w:spacing w:before="0" w:after="120" w:line="317" w:lineRule="auto"/>
      </w:pPr>
      <w:r>
        <w:rPr>
          <w:rFonts w:ascii="Hiragino Sans GB" w:hAnsi="Hiragino Sans GB" w:eastAsia="Hiragino Sans GB"/>
          <w:b/>
          <w:color w:val="000000"/>
          <w:sz w:val="22"/>
        </w:rPr>
        <w:t xml:space="preserve">双通道规则  </w:t>
      </w:r>
      <w:r>
        <w:rPr>
          <w:rFonts w:ascii="Hiragino Sans GB" w:hAnsi="Hiragino Sans GB" w:eastAsia="Hiragino Sans GB"/>
          <w:color w:val="000000"/>
          <w:sz w:val="22"/>
        </w:rPr>
        <w:t>PC5和Uu使用同一eventId与revision，车端按来源权威级、新鲜度和质量去重。安全消息过期后禁止重放，断网恢复只补传日志、回执及允许补传的非实时数据。</w:t>
      </w:r>
    </w:p>
    <w:p>
      <w:pPr>
        <w:pStyle w:val="Heading1"/>
        <w:keepNext/>
        <w:spacing w:before="280" w:after="140" w:line="276" w:lineRule="auto"/>
      </w:pPr>
      <w:r>
        <w:rPr>
          <w:rFonts w:ascii="Hiragino Sans GB" w:hAnsi="Hiragino Sans GB" w:eastAsia="Hiragino Sans GB"/>
          <w:b/>
          <w:color w:val="000000"/>
          <w:sz w:val="32"/>
        </w:rPr>
        <w:t>十 重点场景设计</w:t>
      </w:r>
    </w:p>
    <w:p>
      <w:pPr>
        <w:spacing w:before="0" w:after="120" w:line="317" w:lineRule="auto"/>
      </w:pPr>
      <w:r>
        <w:rPr>
          <w:rFonts w:ascii="Hiragino Sans GB" w:hAnsi="Hiragino Sans GB" w:eastAsia="Hiragino Sans GB"/>
          <w:b/>
          <w:color w:val="000000"/>
          <w:sz w:val="22"/>
        </w:rPr>
        <w:t xml:space="preserve">统一原则  </w:t>
      </w:r>
      <w:r>
        <w:rPr>
          <w:rFonts w:ascii="Hiragino Sans GB" w:hAnsi="Hiragino Sans GB" w:eastAsia="Hiragino Sans GB"/>
          <w:color w:val="000000"/>
          <w:sz w:val="22"/>
        </w:rPr>
        <w:t>场景阈值不是行业通用常数。TTC、距离、停车持续时间、告警提前量、置信度和抑制窗口必须由城市、数据源单位、OEM和测试机构结合道路、车型、ODD及HMI联合标定。</w:t>
      </w:r>
    </w:p>
    <w:p>
      <w:pPr>
        <w:pStyle w:val="Heading2"/>
        <w:keepNext/>
        <w:spacing w:before="180" w:after="100" w:line="276" w:lineRule="auto"/>
      </w:pPr>
      <w:r>
        <w:rPr>
          <w:rFonts w:ascii="Hiragino Sans GB" w:hAnsi="Hiragino Sans GB" w:eastAsia="Hiragino Sans GB"/>
          <w:b/>
          <w:color w:val="000000"/>
          <w:sz w:val="27"/>
        </w:rPr>
        <w:t>十点一 信号灯基础服务与上车提示</w:t>
      </w:r>
    </w:p>
    <w:tbl>
      <w:tblPr>
        <w:tblW w:type="auto" w:w="0"/>
        <w:jc w:val="center"/>
        <w:tblLayout w:type="fixed"/>
        <w:tblLook w:firstColumn="1" w:firstRow="1" w:lastColumn="0" w:lastRow="0" w:noHBand="0" w:noVBand="1" w:val="04A0"/>
      </w:tblPr>
      <w:tblGrid>
        <w:gridCol w:w="5083"/>
        <w:gridCol w:w="5083"/>
      </w:tblGrid>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服务定位</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基础服务为MAP+SPAT+质量和有效性。上车提示是车端消费方式，不另建第二套信号数据源。</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主要输入</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路口拓扑  进口道与车道连接  停止线  信号组  当前灯态  最早或最晚结束时间  控制模式  时间质量  自车位置方向车道。</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触发条件</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车辆进入服务地理围栏且能够唯一匹配进口道  车道  行驶方向和信号组  数据在有效期内。</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下行内容</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目标路口与信号组  当前状态  距停止线  时间范围  控制模式  置信度  有效期  地图版本。</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车端展示</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仪表或HUD显示与自车方向对应的灯态和距离。仅在时间质量满足时显示倒计时；自适应信号可显示区间或不显示时间。</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异常退出</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SPAT过期  信号闪光或故障  MAP版本不一致  车道无法匹配时停止倒计时和GLOSA，并显示服务暂不可用。物理信号灯和本车感知优先。</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验收重点</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灯态和相位一致性  MAP—SPAT绑定  路车匹配  时间误差  过期抑制  错误方向不展示。</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十点二 绿波车速引导</w:t>
      </w:r>
    </w:p>
    <w:tbl>
      <w:tblPr>
        <w:tblW w:type="auto" w:w="0"/>
        <w:jc w:val="center"/>
        <w:tblLayout w:type="fixed"/>
        <w:tblLook w:firstColumn="1" w:firstRow="1" w:lastColumn="0" w:lastRow="0" w:noHBand="0" w:noVBand="1" w:val="04A0"/>
      </w:tblPr>
      <w:tblGrid>
        <w:gridCol w:w="5083"/>
        <w:gridCol w:w="5083"/>
      </w:tblGrid>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服务定位</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为驾驶人或车辆提供合法  舒适  可通过目标路口的建议速度区间，不输出单一绝对速度。</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主要输入</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MAP  SPAT  自车位置速度方向  道路限速  目标信号组  排队长度和消散预测  可选路线走廊。</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计算规则</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同时满足限速  舒适加减速度  信号窗口  排队消散和剩余距离。明确区分实测信号与预测时间。</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下行内容</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目标信号组  建议速度下限和上限  适用距离  计算时间  有效期  预测质量  无解原因。</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车端展示</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显示速度区间和一个主动作。无合法可达区间时提示平稳减速或等待下一周期，不诱导加速抢灯。</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异常退出</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信号时间不确定  排队预测质量不足  自车偏离路线  超出限速或舒适区间时取消建议。</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验收重点</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合法性  可达性  速度建议稳定性  抖动抑制  到达停止线时的信号一致性  驾驶分心评价。</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十点三 闯红灯风险预警</w:t>
      </w:r>
    </w:p>
    <w:tbl>
      <w:tblPr>
        <w:tblW w:type="auto" w:w="0"/>
        <w:jc w:val="center"/>
        <w:tblLayout w:type="fixed"/>
        <w:tblLook w:firstColumn="1" w:firstRow="1" w:lastColumn="0" w:lastRow="0" w:noHBand="0" w:noVBand="1" w:val="04A0"/>
      </w:tblPr>
      <w:tblGrid>
        <w:gridCol w:w="5083"/>
        <w:gridCol w:w="5083"/>
      </w:tblGrid>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服务定位</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普通灯态展示不等于风险预警。仅当预计越过停止线时处于红灯或即将转红并达到项目标定风险条件时进入RLVW。</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主要输入</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停止线  灯态及变化窗口  自车位置速度加速度  制动状态  道路附着和车型制动能力的安全抽象。</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触发条件</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预计越线时刻与红灯窗口重叠，并满足联合标定的风险阈值及数据质量门槛。</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下行内容</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风险等级  目标停止线  灯态窗口  建议动作  有效期  计算置信度。</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车端展示</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高优先级视觉与声音提示，主动作是减速停车。与本车前向碰撞等更高风险告警进行优先级仲裁。</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异常退出</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驾驶人已有效制动  车辆停车  信号状态变化  车辆已安全越线  数据过期或匹配失败时立即取消。</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验收重点</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风险触发时机  误报漏报  数据延迟对停车距离影响  取消及时性  与本车ADAS告警冲突。</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十点四 前方拥堵与队尾预警</w:t>
      </w:r>
    </w:p>
    <w:tbl>
      <w:tblPr>
        <w:tblW w:type="auto" w:w="0"/>
        <w:jc w:val="center"/>
        <w:tblLayout w:type="fixed"/>
        <w:tblLook w:firstColumn="1" w:firstRow="1" w:lastColumn="0" w:lastRow="0" w:noHBand="0" w:noVBand="1" w:val="04A0"/>
      </w:tblPr>
      <w:tblGrid>
        <w:gridCol w:w="5083"/>
        <w:gridCol w:w="5083"/>
      </w:tblGrid>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服务定位</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普通拥堵信息解决效率问题；高速或遮挡下的队尾风险解决安全问题，应使用不同优先级和验收指标。</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主要输入</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车道级流量  平均速度  队尾位置  拥堵长度和趋势  事故施工  自车路线位置速度和车道。</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触发条件</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车辆路线将进入拥堵影响区；队尾风险还需结合相对位置  速度和可见性满足项目标定条件。</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下行内容</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影响道路和车道  队尾位置  距离  拥堵等级  平均速度  趋势  建议动作  TTL。</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车端展示</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一般拥堵进入导航或信息卡；队尾风险升级为声音和醒目视觉提示，主动作是提前减速。</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异常退出</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车辆改道  离开影响区  队尾消散  事件取消  数据过期时清除。道路级数据不得伪装为车道级。</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验收重点</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队尾位置误差  路线相关性  重复告警抑制  事件演化更新  区分拥堵提示和碰撞风险。</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十点五 超视距弱势交通参与者碰撞风险</w:t>
      </w:r>
    </w:p>
    <w:tbl>
      <w:tblPr>
        <w:tblW w:type="auto" w:w="0"/>
        <w:jc w:val="center"/>
        <w:tblLayout w:type="fixed"/>
        <w:tblLook w:firstColumn="1" w:firstRow="1" w:lastColumn="0" w:lastRow="0" w:noHBand="0" w:noVBand="1" w:val="04A0"/>
      </w:tblPr>
      <w:tblGrid>
        <w:gridCol w:w="5083"/>
        <w:gridCol w:w="5083"/>
      </w:tblGrid>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服务定位</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路侧检测视野盲区或超出车载感知范围的行人和非机动车，通过MEC和PC5或Uu向相关路径车辆提供目标或风险。</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主要输入</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RSM或SSM结构化目标  MAP  目标位置速度航向和轨迹  自车轨迹  遮挡关系  冲突点  感知质量。</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触发条件</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自车与目标预测轨迹存在空间和时间冲突，且满足项目标定的TTC  距离和置信度门槛。</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下行内容</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目标匿名ID和类型  位置运动  预测轨迹  冲突方向  风险等级  置信度  TTL。</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车端展示</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只向相关方向和车道车辆告警。方向性图形配合声音或触觉；低置信度仅提示注意盲区，不输出伪精确TTC。</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异常退出</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目标消失  轨迹不再冲突  车辆离开范围  感知质量下降  消息过期时立即取消。进入制动前必须由本车确认和安全仲裁。</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验收重点</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目标识别跟踪  坐标与时钟  轨迹预测  端到端时延  误报漏报  遮挡场景  过期与幽灵目标抑制。</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十点六 异常停车与异常车辆预警</w:t>
      </w:r>
    </w:p>
    <w:tbl>
      <w:tblPr>
        <w:tblW w:type="auto" w:w="0"/>
        <w:jc w:val="center"/>
        <w:tblLayout w:type="fixed"/>
        <w:tblLook w:firstColumn="1" w:firstRow="1" w:lastColumn="0" w:lastRow="0" w:noHBand="0" w:noVBand="1" w:val="04A0"/>
      </w:tblPr>
      <w:tblGrid>
        <w:gridCol w:w="5083"/>
        <w:gridCol w:w="5083"/>
      </w:tblGrid>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服务定位</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识别故障停车  事故停车  异常低速  逆行或急刹等影响本车安全的异常状态，并与正常排队和合法临停区分。</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主要输入</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路侧目标轨迹  车辆BSM或状态  停车位置和持续时间  车道占用  双闪或故障抽象  事故施工事件。</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触发条件</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目标在非预期位置达到项目标定的停留或异常运动条件，并对本车路线产生影响。</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下行内容</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事件位置  道路车道  方向  异常类型  持续时间  距离  来源  置信度  建议动作。</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车端展示</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显示异常车辆所在车道和距离，给出减速  注意观察或安全变道建议，不直接命令变道。</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异常退出</w:t>
            </w:r>
          </w:p>
        </w:tc>
        <w:tc>
          <w:tcPr>
            <w:tcW w:type="dxa" w:w="8136"/>
            <w:shd w:fill="F4F7FB"/>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目标恢复行驶  事件被权威源撤销  车辆离开路线  数据过期时取消；多源冲突时降级为注意前方。</w:t>
            </w:r>
          </w:p>
        </w:tc>
      </w:tr>
      <w:tr>
        <w:trPr>
          <w:cantSplit/>
        </w:trPr>
        <w:tc>
          <w:tcPr>
            <w:tcW w:type="dxa" w:w="1944"/>
            <w:shd w:fill="DCE6F1"/>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color w:val="000000"/>
                <w:sz w:val="19"/>
              </w:rPr>
              <w:t>验收重点</w:t>
            </w:r>
          </w:p>
        </w:tc>
        <w:tc>
          <w:tcPr>
            <w:tcW w:type="dxa" w:w="8136"/>
            <w:tcMar>
              <w:top w:w="110" w:type="dxa"/>
              <w:start w:w="125" w:type="dxa"/>
              <w:bottom w:w="110" w:type="dxa"/>
              <w:end w:w="12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8" w:lineRule="auto"/>
            </w:pPr>
            <w:r>
              <w:rPr>
                <w:rFonts w:ascii="Hiragino Sans GB" w:hAnsi="Hiragino Sans GB" w:eastAsia="Hiragino Sans GB"/>
                <w:b w:val="0"/>
                <w:color w:val="000000"/>
                <w:sz w:val="19"/>
              </w:rPr>
              <w:t>正常排队与异常停车区分  车道准确性  事件取消  假目标抑制  多源去重和来源追溯。</w:t>
            </w:r>
          </w:p>
        </w:tc>
      </w:tr>
    </w:tbl>
    <w:p>
      <w:pPr>
        <w:spacing w:before="0" w:after="60" w:line="240" w:lineRule="auto"/>
      </w:pPr>
    </w:p>
    <w:p>
      <w:pPr>
        <w:pStyle w:val="Heading2"/>
        <w:keepNext/>
        <w:spacing w:before="180" w:after="100" w:line="276" w:lineRule="auto"/>
      </w:pPr>
      <w:r>
        <w:rPr>
          <w:rFonts w:ascii="Hiragino Sans GB" w:hAnsi="Hiragino Sans GB" w:eastAsia="Hiragino Sans GB"/>
          <w:b/>
          <w:color w:val="000000"/>
          <w:sz w:val="27"/>
        </w:rPr>
        <w:t>十点七 后续扩展场景</w:t>
      </w:r>
    </w:p>
    <w:p>
      <w:pPr>
        <w:spacing w:before="0" w:after="120" w:line="317" w:lineRule="auto"/>
      </w:pPr>
      <w:r>
        <w:rPr>
          <w:rFonts w:ascii="Hiragino Sans GB" w:hAnsi="Hiragino Sans GB" w:eastAsia="Hiragino Sans GB"/>
          <w:color w:val="000000"/>
          <w:sz w:val="22"/>
        </w:rPr>
        <w:t>在上述场景形成统一服务和验收闭环后，可按同一底座扩展道路危险状况、遮挡路口碰撞、紧急车辆让行、动态限速、行驶车道建议、匝道汇入、感知共享、C-AEB和C-ACC。不得为扩展场景另建孤立平台。[S4]</w:t>
      </w:r>
    </w:p>
    <w:p>
      <w:pPr>
        <w:pStyle w:val="Heading1"/>
        <w:keepNext/>
        <w:spacing w:before="280" w:after="140" w:line="276" w:lineRule="auto"/>
      </w:pPr>
      <w:r>
        <w:rPr>
          <w:rFonts w:ascii="Hiragino Sans GB" w:hAnsi="Hiragino Sans GB" w:eastAsia="Hiragino Sans GB"/>
          <w:b/>
          <w:color w:val="000000"/>
          <w:sz w:val="32"/>
        </w:rPr>
        <w:t>十一 车端与运营平台展示</w:t>
      </w:r>
    </w:p>
    <w:p>
      <w:pPr>
        <w:pStyle w:val="Heading2"/>
        <w:keepNext/>
        <w:spacing w:before="180" w:after="100" w:line="276" w:lineRule="auto"/>
      </w:pPr>
      <w:r>
        <w:rPr>
          <w:rFonts w:ascii="Hiragino Sans GB" w:hAnsi="Hiragino Sans GB" w:eastAsia="Hiragino Sans GB"/>
          <w:b/>
          <w:color w:val="000000"/>
          <w:sz w:val="27"/>
        </w:rPr>
        <w:t>十一点一 车端HMI</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优先级</w:t>
            </w:r>
          </w:p>
        </w:tc>
        <w:tc>
          <w:tcPr>
            <w:tcW w:type="dxa" w:w="288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场景</w:t>
            </w:r>
          </w:p>
        </w:tc>
        <w:tc>
          <w:tcPr>
            <w:tcW w:type="dxa" w:w="2951"/>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展示方式</w:t>
            </w:r>
          </w:p>
        </w:tc>
        <w:tc>
          <w:tcPr>
            <w:tcW w:type="dxa" w:w="252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交互原则</w:t>
            </w:r>
          </w:p>
        </w:tc>
      </w:tr>
      <w:tr>
        <w:trPr>
          <w:cantSplit/>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P0 紧急预警</w:t>
            </w:r>
          </w:p>
        </w:tc>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VRU冲突  队尾碰撞  闯红灯风险</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HUD或仪表醒目视觉  声音或触觉</w:t>
            </w:r>
          </w:p>
        </w:tc>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无需驾驶中操作  高优先级  风险解除立即取消</w:t>
            </w:r>
          </w:p>
        </w:tc>
      </w:tr>
      <w:tr>
        <w:trPr>
          <w:cantSplit/>
        </w:trPr>
        <w:tc>
          <w:tcPr>
            <w:tcW w:type="dxa" w:w="172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P1 驾驶建议</w:t>
            </w:r>
          </w:p>
        </w:tc>
        <w:tc>
          <w:tcPr>
            <w:tcW w:type="dxa" w:w="288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异常停车  道路危险  GLOSA</w:t>
            </w:r>
          </w:p>
        </w:tc>
        <w:tc>
          <w:tcPr>
            <w:tcW w:type="dxa" w:w="295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简短卡片  仪表或导航  可配语音</w:t>
            </w:r>
          </w:p>
        </w:tc>
        <w:tc>
          <w:tcPr>
            <w:tcW w:type="dxa" w:w="252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一屏一个主动作  不给违法或不可达建议</w:t>
            </w:r>
          </w:p>
        </w:tc>
      </w:tr>
      <w:tr>
        <w:trPr>
          <w:cantSplit/>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P2 环境信息</w:t>
            </w:r>
          </w:p>
        </w:tc>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普通信号状态  一般拥堵</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轻量卡片或导航图层</w:t>
            </w:r>
          </w:p>
        </w:tc>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弱打扰  自动消失  不遮挡本车高优先级告警</w:t>
            </w:r>
          </w:p>
        </w:tc>
      </w:tr>
    </w:tbl>
    <w:p>
      <w:pPr>
        <w:spacing w:before="0" w:after="60" w:line="240" w:lineRule="auto"/>
      </w:pPr>
    </w:p>
    <w:p>
      <w:pPr>
        <w:pStyle w:val="ListBullet"/>
        <w:spacing w:before="0" w:after="60" w:line="300" w:lineRule="auto"/>
      </w:pPr>
      <w:r>
        <w:rPr>
          <w:rFonts w:ascii="Hiragino Sans GB" w:hAnsi="Hiragino Sans GB" w:eastAsia="Hiragino Sans GB"/>
          <w:color w:val="000000"/>
          <w:sz w:val="22"/>
        </w:rPr>
        <w:t>实时值、预测值和未知值必须区分；自适应信号不能输出伪精确倒计时。</w:t>
      </w:r>
    </w:p>
    <w:p>
      <w:pPr>
        <w:pStyle w:val="ListBullet"/>
        <w:spacing w:before="0" w:after="60" w:line="300" w:lineRule="auto"/>
      </w:pPr>
      <w:r>
        <w:rPr>
          <w:rFonts w:ascii="Hiragino Sans GB" w:hAnsi="Hiragino Sans GB" w:eastAsia="Hiragino Sans GB"/>
          <w:color w:val="000000"/>
          <w:sz w:val="22"/>
        </w:rPr>
        <w:t>服务不可用、地图不匹配、网络降级和数据过期不能静默，应给出简洁状态或停止展示。</w:t>
      </w:r>
    </w:p>
    <w:p>
      <w:pPr>
        <w:pStyle w:val="ListBullet"/>
        <w:spacing w:before="0" w:after="60" w:line="300" w:lineRule="auto"/>
      </w:pPr>
      <w:r>
        <w:rPr>
          <w:rFonts w:ascii="Hiragino Sans GB" w:hAnsi="Hiragino Sans GB" w:eastAsia="Hiragino Sans GB"/>
          <w:color w:val="000000"/>
          <w:sz w:val="22"/>
        </w:rPr>
        <w:t>同一事件经PC5和Uu到达时只展示一次；若信息冲突，按权威源、新鲜度和质量决定或降级。</w:t>
      </w:r>
    </w:p>
    <w:p>
      <w:pPr>
        <w:pStyle w:val="ListBullet"/>
        <w:spacing w:before="0" w:after="60" w:line="300" w:lineRule="auto"/>
      </w:pPr>
      <w:r>
        <w:rPr>
          <w:rFonts w:ascii="Hiragino Sans GB" w:hAnsi="Hiragino Sans GB" w:eastAsia="Hiragino Sans GB"/>
          <w:color w:val="000000"/>
          <w:sz w:val="22"/>
        </w:rPr>
        <w:t>平台记录完整置信度和证据，驾驶人界面不堆叠算法概率，只呈现可行动的信息。</w:t>
      </w:r>
    </w:p>
    <w:p>
      <w:pPr>
        <w:pStyle w:val="Heading2"/>
        <w:keepNext/>
        <w:spacing w:before="180" w:after="100" w:line="276" w:lineRule="auto"/>
      </w:pPr>
      <w:r>
        <w:rPr>
          <w:rFonts w:ascii="Hiragino Sans GB" w:hAnsi="Hiragino Sans GB" w:eastAsia="Hiragino Sans GB"/>
          <w:b/>
          <w:color w:val="000000"/>
          <w:sz w:val="27"/>
        </w:rPr>
        <w:t>十一点二 城市运营平台</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页面</w:t>
            </w:r>
          </w:p>
        </w:tc>
        <w:tc>
          <w:tcPr>
            <w:tcW w:type="dxa" w:w="547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核心内容</w:t>
            </w:r>
          </w:p>
        </w:tc>
        <w:tc>
          <w:tcPr>
            <w:tcW w:type="dxa" w:w="2951"/>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主要动作</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服务全景</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道路 路口 RSU MEC 5G覆盖  在线车辆  服务状态</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按区域 OEM 车型 场景过滤</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服务目录</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服务版本 覆盖 能力门槛 安全等级 启停 灰度</w:t>
            </w:r>
          </w:p>
        </w:tc>
        <w:tc>
          <w:tcPr>
            <w:tcW w:type="dxa" w:w="295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发布 暂停 回滚 查看影响车辆</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数据质量</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灯态 地图 感知 时钟 新鲜度 完整性 冲突</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隔离来源 降级服务 生成工单</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车辆接入</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OEM 车型 证书 软件 地图 订阅和限流</w:t>
            </w:r>
          </w:p>
        </w:tc>
        <w:tc>
          <w:tcPr>
            <w:tcW w:type="dxa" w:w="295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审核能力 轮换吊销证书 调整配额</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事件追踪</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源设备 边缘 云 TSP 车辆的完整时间线和状态</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查看原始证据 回执 原因码和版本</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异常处置</w:t>
            </w:r>
          </w:p>
        </w:tc>
        <w:tc>
          <w:tcPr>
            <w:tcW w:type="dxa" w:w="54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断链 过期 证书失败 地图不一致 误报漏报</w:t>
            </w:r>
          </w:p>
        </w:tc>
        <w:tc>
          <w:tcPr>
            <w:tcW w:type="dxa" w:w="295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暂停 隔离 回滚 派单 升级 关闭</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运营分析</w:t>
            </w:r>
          </w:p>
        </w:tc>
        <w:tc>
          <w:tcPr>
            <w:tcW w:type="dxa" w:w="54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送达率 校验率 展示率 消费率 抑制率 SLA和场景效果</w:t>
            </w:r>
          </w:p>
        </w:tc>
        <w:tc>
          <w:tcPr>
            <w:tcW w:type="dxa" w:w="295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按日 周 月导出和复盘</w:t>
            </w:r>
          </w:p>
        </w:tc>
      </w:tr>
    </w:tbl>
    <w:p>
      <w:pPr>
        <w:spacing w:before="0" w:after="60" w:line="240" w:lineRule="auto"/>
      </w:pPr>
    </w:p>
    <w:p>
      <w:pPr>
        <w:spacing w:before="0" w:after="120" w:line="317" w:lineRule="auto"/>
      </w:pPr>
      <w:r>
        <w:rPr>
          <w:rFonts w:ascii="Hiragino Sans GB" w:hAnsi="Hiragino Sans GB" w:eastAsia="Hiragino Sans GB"/>
          <w:color w:val="000000"/>
          <w:sz w:val="22"/>
        </w:rPr>
        <w:t>事件详情必须展示sourceTime、generatedTime、各节点接收时间、expiresAt、sourceId、eventId、revision、目标道路车道、分发通道、车辆软件版本、最终状态和reasonCode。只有这样才能定位问题发生在数据源、地图、网络、城市云、OEM TSP还是车端。</w:t>
      </w:r>
    </w:p>
    <w:p>
      <w:pPr>
        <w:pStyle w:val="Heading1"/>
        <w:keepNext/>
        <w:spacing w:before="280" w:after="140" w:line="276" w:lineRule="auto"/>
      </w:pPr>
      <w:r>
        <w:rPr>
          <w:rFonts w:ascii="Hiragino Sans GB" w:hAnsi="Hiragino Sans GB" w:eastAsia="Hiragino Sans GB"/>
          <w:b/>
          <w:color w:val="000000"/>
          <w:sz w:val="32"/>
        </w:rPr>
        <w:t>十二 安全 数据与责任边界</w:t>
      </w:r>
    </w:p>
    <w:p>
      <w:pPr>
        <w:pStyle w:val="Heading2"/>
        <w:keepNext/>
        <w:spacing w:before="180" w:after="100" w:line="276" w:lineRule="auto"/>
      </w:pPr>
      <w:r>
        <w:rPr>
          <w:rFonts w:ascii="Hiragino Sans GB" w:hAnsi="Hiragino Sans GB" w:eastAsia="Hiragino Sans GB"/>
          <w:b/>
          <w:color w:val="000000"/>
          <w:sz w:val="27"/>
        </w:rPr>
        <w:t>十二点一 安全设计</w:t>
      </w:r>
    </w:p>
    <w:p>
      <w:pPr>
        <w:pStyle w:val="ListBullet"/>
        <w:spacing w:before="0" w:after="60" w:line="300" w:lineRule="auto"/>
      </w:pPr>
      <w:r>
        <w:rPr>
          <w:rFonts w:ascii="Hiragino Sans GB" w:hAnsi="Hiragino Sans GB" w:eastAsia="Hiragino Sans GB"/>
          <w:color w:val="000000"/>
          <w:sz w:val="22"/>
        </w:rPr>
        <w:t>PC5采用C-V2X证书、消息签名、证书轮换和吊销；Uu及OEM TSP采用双向认证、应用授权、时间戳或nonce和防重放。</w:t>
      </w:r>
    </w:p>
    <w:p>
      <w:pPr>
        <w:pStyle w:val="ListBullet"/>
        <w:spacing w:before="0" w:after="60" w:line="300" w:lineRule="auto"/>
      </w:pPr>
      <w:r>
        <w:rPr>
          <w:rFonts w:ascii="Hiragino Sans GB" w:hAnsi="Hiragino Sans GB" w:eastAsia="Hiragino Sans GB"/>
          <w:color w:val="000000"/>
          <w:sz w:val="22"/>
        </w:rPr>
        <w:t>密钥保存在HSM或安全元件，量产阶段完成工厂注入、EOL检测、异常终端处置和证书生命周期审计。</w:t>
      </w:r>
    </w:p>
    <w:p>
      <w:pPr>
        <w:pStyle w:val="ListBullet"/>
        <w:spacing w:before="0" w:after="60" w:line="300" w:lineRule="auto"/>
      </w:pPr>
      <w:r>
        <w:rPr>
          <w:rFonts w:ascii="Hiragino Sans GB" w:hAnsi="Hiragino Sans GB" w:eastAsia="Hiragino Sans GB"/>
          <w:color w:val="000000"/>
          <w:sz w:val="22"/>
        </w:rPr>
        <w:t>车端对所有安全类消息执行验签、新鲜度、序列、地图和能力校验；证书无效或时钟异常时丢弃安全消息并记录诊断。</w:t>
      </w:r>
    </w:p>
    <w:p>
      <w:pPr>
        <w:pStyle w:val="ListBullet"/>
        <w:spacing w:before="0" w:after="60" w:line="300" w:lineRule="auto"/>
      </w:pPr>
      <w:r>
        <w:rPr>
          <w:rFonts w:ascii="Hiragino Sans GB" w:hAnsi="Hiragino Sans GB" w:eastAsia="Hiragino Sans GB"/>
          <w:color w:val="000000"/>
          <w:sz w:val="22"/>
        </w:rPr>
        <w:t>系统过载时优先保障碰撞、VRU和闯红灯风险，再保障异常停车、拥堵和GLOSA。</w:t>
      </w:r>
    </w:p>
    <w:p>
      <w:pPr>
        <w:pStyle w:val="ListBullet"/>
        <w:spacing w:before="0" w:after="60" w:line="300" w:lineRule="auto"/>
      </w:pPr>
      <w:r>
        <w:rPr>
          <w:rFonts w:ascii="Hiragino Sans GB" w:hAnsi="Hiragino Sans GB" w:eastAsia="Hiragino Sans GB"/>
          <w:color w:val="000000"/>
          <w:sz w:val="22"/>
        </w:rPr>
        <w:t>如果云端数据参与转向或制动，应进入OEM功能安全、预期功能安全、网络安全和车型准入论证，不能以“数据服务”名义规避责任。</w:t>
      </w:r>
    </w:p>
    <w:p>
      <w:pPr>
        <w:pStyle w:val="Heading2"/>
        <w:keepNext/>
        <w:spacing w:before="180" w:after="100" w:line="276" w:lineRule="auto"/>
      </w:pPr>
      <w:r>
        <w:rPr>
          <w:rFonts w:ascii="Hiragino Sans GB" w:hAnsi="Hiragino Sans GB" w:eastAsia="Hiragino Sans GB"/>
          <w:b/>
          <w:color w:val="000000"/>
          <w:sz w:val="27"/>
        </w:rPr>
        <w:t>十二点二 数据和地理信息</w:t>
      </w:r>
    </w:p>
    <w:p>
      <w:pPr>
        <w:pStyle w:val="ListBullet"/>
        <w:spacing w:before="0" w:after="60" w:line="300" w:lineRule="auto"/>
      </w:pPr>
      <w:r>
        <w:rPr>
          <w:rFonts w:ascii="Hiragino Sans GB" w:hAnsi="Hiragino Sans GB" w:eastAsia="Hiragino Sans GB"/>
          <w:color w:val="000000"/>
          <w:sz w:val="22"/>
        </w:rPr>
        <w:t>按汽车数据规定贯彻车内处理、默认不收集、精度适用和脱敏原则；车辆轨迹属于敏感个人信息范围，应明确告知、同意、退出、保存和删除机制。[S15]</w:t>
      </w:r>
    </w:p>
    <w:p>
      <w:pPr>
        <w:pStyle w:val="ListBullet"/>
        <w:spacing w:before="0" w:after="60" w:line="300" w:lineRule="auto"/>
      </w:pPr>
      <w:r>
        <w:rPr>
          <w:rFonts w:ascii="Hiragino Sans GB" w:hAnsi="Hiragino Sans GB" w:eastAsia="Hiragino Sans GB"/>
          <w:color w:val="000000"/>
          <w:sz w:val="22"/>
        </w:rPr>
        <w:t>原始视频、点云和连续轨迹尽量在RSU或MEC侧处理，只向车辆和城市服务层提供匿名化结构化目标或事件。</w:t>
      </w:r>
    </w:p>
    <w:p>
      <w:pPr>
        <w:pStyle w:val="ListBullet"/>
        <w:spacing w:before="0" w:after="60" w:line="300" w:lineRule="auto"/>
      </w:pPr>
      <w:r>
        <w:rPr>
          <w:rFonts w:ascii="Hiragino Sans GB" w:hAnsi="Hiragino Sans GB" w:eastAsia="Hiragino Sans GB"/>
          <w:color w:val="000000"/>
          <w:sz w:val="22"/>
        </w:rPr>
        <w:t>重要数据依法境内存储并开展风险评估；城市平台、OEM和供应商签署数据处理责任矩阵，明确目的、最小字段、保存期限和安全事件响应。</w:t>
      </w:r>
    </w:p>
    <w:p>
      <w:pPr>
        <w:pStyle w:val="ListBullet"/>
        <w:spacing w:before="0" w:after="60" w:line="300" w:lineRule="auto"/>
      </w:pPr>
      <w:r>
        <w:rPr>
          <w:rFonts w:ascii="Hiragino Sans GB" w:hAnsi="Hiragino Sans GB" w:eastAsia="Hiragino Sans GB"/>
          <w:color w:val="000000"/>
          <w:sz w:val="22"/>
        </w:rPr>
        <w:t>对位置、影像、点云和道路拓扑的采集、处理、传输及更新，需确认测绘活动和地理信息安全要求，由具备相应资质的主体承担。[S20]</w:t>
      </w:r>
    </w:p>
    <w:p>
      <w:pPr>
        <w:pStyle w:val="Heading2"/>
        <w:keepNext/>
        <w:spacing w:before="180" w:after="100" w:line="276" w:lineRule="auto"/>
      </w:pPr>
      <w:r>
        <w:rPr>
          <w:rFonts w:ascii="Hiragino Sans GB" w:hAnsi="Hiragino Sans GB" w:eastAsia="Hiragino Sans GB"/>
          <w:b/>
          <w:color w:val="000000"/>
          <w:sz w:val="27"/>
        </w:rPr>
        <w:t>十二点三 典型异常与降级</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异常</w:t>
            </w:r>
          </w:p>
        </w:tc>
        <w:tc>
          <w:tcPr>
            <w:tcW w:type="dxa" w:w="7200"/>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车端或平台动作</w:t>
            </w:r>
          </w:p>
        </w:tc>
      </w:tr>
      <w:tr>
        <w:trPr>
          <w:cantSplit/>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SPAT过期 矛盾 闪光或故障</w:t>
            </w:r>
          </w:p>
        </w:tc>
        <w:tc>
          <w:tcPr>
            <w:tcW w:type="dxa" w:w="72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停止倒计时和GLOSA  显示信号服务暂不可用  不跨相位外推</w:t>
            </w:r>
          </w:p>
        </w:tc>
      </w:tr>
      <w:tr>
        <w:trPr>
          <w:cantSplit/>
        </w:trPr>
        <w:tc>
          <w:tcPr>
            <w:tcW w:type="dxa" w:w="288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MAP与车载地图版本不一致</w:t>
            </w:r>
          </w:p>
        </w:tc>
        <w:tc>
          <w:tcPr>
            <w:tcW w:type="dxa" w:w="72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禁用车道级引导  可降级为道路级一般提示</w:t>
            </w:r>
          </w:p>
        </w:tc>
      </w:tr>
      <w:tr>
        <w:trPr>
          <w:cantSplit/>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PC5中断</w:t>
            </w:r>
          </w:p>
        </w:tc>
        <w:tc>
          <w:tcPr>
            <w:tcW w:type="dxa" w:w="72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若Uu仍新鲜则切换并去重  否则依赖本车感知并退出云服务</w:t>
            </w:r>
          </w:p>
        </w:tc>
      </w:tr>
      <w:tr>
        <w:trPr>
          <w:cantSplit/>
        </w:trPr>
        <w:tc>
          <w:tcPr>
            <w:tcW w:type="dxa" w:w="288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Uu中断</w:t>
            </w:r>
          </w:p>
        </w:tc>
        <w:tc>
          <w:tcPr>
            <w:tcW w:type="dxa" w:w="72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保留PC5和本地ADAS  不重放过期云消息</w:t>
            </w:r>
          </w:p>
        </w:tc>
      </w:tr>
      <w:tr>
        <w:trPr>
          <w:cantSplit/>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双通道冲突</w:t>
            </w:r>
          </w:p>
        </w:tc>
        <w:tc>
          <w:tcPr>
            <w:tcW w:type="dxa" w:w="72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按事件ID 来源权威 新鲜度 版本和质量选择  无法判断时降级或抑制</w:t>
            </w:r>
          </w:p>
        </w:tc>
      </w:tr>
      <w:tr>
        <w:trPr>
          <w:cantSplit/>
        </w:trPr>
        <w:tc>
          <w:tcPr>
            <w:tcW w:type="dxa" w:w="288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VRU低置信度</w:t>
            </w:r>
          </w:p>
        </w:tc>
        <w:tc>
          <w:tcPr>
            <w:tcW w:type="dxa" w:w="72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只提示注意盲区  不输出精确TTC或制动建议</w:t>
            </w:r>
          </w:p>
        </w:tc>
      </w:tr>
      <w:tr>
        <w:trPr>
          <w:cantSplit/>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验签失败或时钟漂移</w:t>
            </w:r>
          </w:p>
        </w:tc>
        <w:tc>
          <w:tcPr>
            <w:tcW w:type="dxa" w:w="72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丢弃安全消息  记录诊断  触发证书或时钟告警</w:t>
            </w:r>
          </w:p>
        </w:tc>
      </w:tr>
      <w:tr>
        <w:trPr>
          <w:cantSplit/>
        </w:trPr>
        <w:tc>
          <w:tcPr>
            <w:tcW w:type="dxa" w:w="288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城市云不可用</w:t>
            </w:r>
          </w:p>
        </w:tc>
        <w:tc>
          <w:tcPr>
            <w:tcW w:type="dxa" w:w="7200"/>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MEC维持已批准的有限服务  TSP和车辆明确显示降级  不静默失效</w:t>
            </w:r>
          </w:p>
        </w:tc>
      </w:tr>
    </w:tbl>
    <w:p>
      <w:pPr>
        <w:spacing w:before="0" w:after="60" w:line="240" w:lineRule="auto"/>
      </w:pPr>
    </w:p>
    <w:p>
      <w:pPr>
        <w:pStyle w:val="Heading1"/>
        <w:keepNext/>
        <w:spacing w:before="280" w:after="140" w:line="276" w:lineRule="auto"/>
      </w:pPr>
      <w:r>
        <w:rPr>
          <w:rFonts w:ascii="Hiragino Sans GB" w:hAnsi="Hiragino Sans GB" w:eastAsia="Hiragino Sans GB"/>
          <w:b/>
          <w:color w:val="000000"/>
          <w:sz w:val="32"/>
        </w:rPr>
        <w:t>十三 测试验收与运行指标</w:t>
      </w:r>
    </w:p>
    <w:p>
      <w:pPr>
        <w:pStyle w:val="Heading2"/>
        <w:keepNext/>
        <w:spacing w:before="180" w:after="100" w:line="276" w:lineRule="auto"/>
      </w:pPr>
      <w:r>
        <w:rPr>
          <w:rFonts w:ascii="Hiragino Sans GB" w:hAnsi="Hiragino Sans GB" w:eastAsia="Hiragino Sans GB"/>
          <w:b/>
          <w:color w:val="000000"/>
          <w:sz w:val="27"/>
        </w:rPr>
        <w:t>十三点一 性能基线</w:t>
      </w:r>
    </w:p>
    <w:p>
      <w:pPr>
        <w:spacing w:before="0" w:after="120" w:line="317" w:lineRule="auto"/>
      </w:pPr>
      <w:r>
        <w:rPr>
          <w:rFonts w:ascii="Hiragino Sans GB" w:hAnsi="Hiragino Sans GB" w:eastAsia="Hiragino Sans GB"/>
          <w:color w:val="000000"/>
          <w:sz w:val="22"/>
        </w:rPr>
        <w:t>《车路云一体化系统建设与应用指南》给出的参考包括：协同信息提醒或预警类下发频率不低于2Hz、云端处理约60ms、车云通信500ms@99%；C-ADAS或C-ADS类参考不低于10Hz、云端处理约60ms、通信20至50ms@99%。指南还将安全强相关强实时应用定义为小于200ms并建议边缘云全链路不超过200ms。[S4]</w:t>
      </w:r>
    </w:p>
    <w:p>
      <w:pPr>
        <w:spacing w:before="0" w:after="120" w:line="317" w:lineRule="auto"/>
      </w:pPr>
      <w:r>
        <w:rPr>
          <w:rFonts w:ascii="Hiragino Sans GB" w:hAnsi="Hiragino Sans GB" w:eastAsia="Hiragino Sans GB"/>
          <w:b/>
          <w:color w:val="000000"/>
          <w:sz w:val="22"/>
        </w:rPr>
        <w:t xml:space="preserve">使用边界  </w:t>
      </w:r>
      <w:r>
        <w:rPr>
          <w:rFonts w:ascii="Hiragino Sans GB" w:hAnsi="Hiragino Sans GB" w:eastAsia="Hiragino Sans GB"/>
          <w:color w:val="000000"/>
          <w:sz w:val="22"/>
        </w:rPr>
        <w:t>上述数值是设计和测试参考，不是本项目对所有道路、运营商、OEM和场景的无条件合同承诺。最终SLA必须区分S0至S3服务等级，并以济南现网、目标车型和端到端外场证据签字确认。</w:t>
      </w:r>
    </w:p>
    <w:p>
      <w:pPr>
        <w:pStyle w:val="Heading2"/>
        <w:keepNext/>
        <w:spacing w:before="180" w:after="100" w:line="276" w:lineRule="auto"/>
      </w:pPr>
      <w:r>
        <w:rPr>
          <w:rFonts w:ascii="Hiragino Sans GB" w:hAnsi="Hiragino Sans GB" w:eastAsia="Hiragino Sans GB"/>
          <w:b/>
          <w:color w:val="000000"/>
          <w:sz w:val="27"/>
        </w:rPr>
        <w:t>十三点二 验收指标体系</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7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维度</w:t>
            </w:r>
          </w:p>
        </w:tc>
        <w:tc>
          <w:tcPr>
            <w:tcW w:type="dxa" w:w="820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必须度量</w:t>
            </w:r>
          </w:p>
        </w:tc>
      </w:tr>
      <w:tr>
        <w:trPr>
          <w:cantSplit/>
        </w:trPr>
        <w:tc>
          <w:tcPr>
            <w:tcW w:type="dxa" w:w="18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数据源</w:t>
            </w:r>
          </w:p>
        </w:tc>
        <w:tc>
          <w:tcPr>
            <w:tcW w:type="dxa" w:w="82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准确 完整 新鲜 连续  故障状态和来源可追溯</w:t>
            </w:r>
          </w:p>
        </w:tc>
      </w:tr>
      <w:tr>
        <w:trPr>
          <w:cantSplit/>
        </w:trPr>
        <w:tc>
          <w:tcPr>
            <w:tcW w:type="dxa" w:w="18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时空一致</w:t>
            </w:r>
          </w:p>
        </w:tc>
        <w:tc>
          <w:tcPr>
            <w:tcW w:type="dxa" w:w="820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UTC同步  坐标  路口车道编码  MAP—SPAT绑定  地图版本</w:t>
            </w:r>
          </w:p>
        </w:tc>
      </w:tr>
      <w:tr>
        <w:trPr>
          <w:cantSplit/>
        </w:trPr>
        <w:tc>
          <w:tcPr>
            <w:tcW w:type="dxa" w:w="18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通信</w:t>
            </w:r>
          </w:p>
        </w:tc>
        <w:tc>
          <w:tcPr>
            <w:tcW w:type="dxa" w:w="82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P50 P95 P99时延  抖动  丢包  乱序  重复  切换  覆盖</w:t>
            </w:r>
          </w:p>
        </w:tc>
      </w:tr>
      <w:tr>
        <w:trPr>
          <w:cantSplit/>
        </w:trPr>
        <w:tc>
          <w:tcPr>
            <w:tcW w:type="dxa" w:w="18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场景功能</w:t>
            </w:r>
          </w:p>
        </w:tc>
        <w:tc>
          <w:tcPr>
            <w:tcW w:type="dxa" w:w="820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触发准确  误报漏报迟报  风险等级  建议合法  取消及时</w:t>
            </w:r>
          </w:p>
        </w:tc>
      </w:tr>
      <w:tr>
        <w:trPr>
          <w:cantSplit/>
        </w:trPr>
        <w:tc>
          <w:tcPr>
            <w:tcW w:type="dxa" w:w="18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车端HMI</w:t>
            </w:r>
          </w:p>
        </w:tc>
        <w:tc>
          <w:tcPr>
            <w:tcW w:type="dxa" w:w="82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实际展示和抑制  优先级  多告警冲突  驾驶分心  服务退出</w:t>
            </w:r>
          </w:p>
        </w:tc>
      </w:tr>
      <w:tr>
        <w:trPr>
          <w:cantSplit/>
        </w:trPr>
        <w:tc>
          <w:tcPr>
            <w:tcW w:type="dxa" w:w="18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智驾消费</w:t>
            </w:r>
          </w:p>
        </w:tc>
        <w:tc>
          <w:tcPr>
            <w:tcW w:type="dxa" w:w="820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输入有效性  本车确认  仲裁  安全降级  数据记录</w:t>
            </w:r>
          </w:p>
        </w:tc>
      </w:tr>
      <w:tr>
        <w:trPr>
          <w:cantSplit/>
        </w:trPr>
        <w:tc>
          <w:tcPr>
            <w:tcW w:type="dxa" w:w="18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安全合规</w:t>
            </w:r>
          </w:p>
        </w:tc>
        <w:tc>
          <w:tcPr>
            <w:tcW w:type="dxa" w:w="82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证书  防重放  渗透  数据最小化  保存删除  OTA灰度回滚</w:t>
            </w:r>
          </w:p>
        </w:tc>
      </w:tr>
      <w:tr>
        <w:trPr>
          <w:cantSplit/>
        </w:trPr>
        <w:tc>
          <w:tcPr>
            <w:tcW w:type="dxa" w:w="187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运营恢复</w:t>
            </w:r>
          </w:p>
        </w:tc>
        <w:tc>
          <w:tcPr>
            <w:tcW w:type="dxa" w:w="820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监控  告警  工单  责任人  恢复时间  复盘  召回或退役</w:t>
            </w:r>
          </w:p>
        </w:tc>
      </w:tr>
    </w:tbl>
    <w:p>
      <w:pPr>
        <w:spacing w:before="0" w:after="60" w:line="240" w:lineRule="auto"/>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口径</w:t>
            </w:r>
          </w:p>
        </w:tc>
        <w:tc>
          <w:tcPr>
            <w:tcW w:type="dxa" w:w="784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计算方法或判定</w:t>
            </w:r>
          </w:p>
        </w:tc>
      </w:tr>
      <w:tr>
        <w:trPr>
          <w:cantSplit/>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有效送达率</w:t>
            </w:r>
          </w:p>
        </w:tc>
        <w:tc>
          <w:tcPr>
            <w:tcW w:type="dxa" w:w="78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VEHICLE_VALIDATED数量 ÷ 进入车型路由的合格消息数量</w:t>
            </w:r>
          </w:p>
        </w:tc>
      </w:tr>
      <w:tr>
        <w:trPr>
          <w:cantSplit/>
        </w:trPr>
        <w:tc>
          <w:tcPr>
            <w:tcW w:type="dxa" w:w="223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实际展示率</w:t>
            </w:r>
          </w:p>
        </w:tc>
        <w:tc>
          <w:tcPr>
            <w:tcW w:type="dxa" w:w="78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PRESENTED数量 ÷ VEHICLE_VALIDATED数量</w:t>
            </w:r>
          </w:p>
        </w:tc>
      </w:tr>
      <w:tr>
        <w:trPr>
          <w:cantSplit/>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规则抑制率</w:t>
            </w:r>
          </w:p>
        </w:tc>
        <w:tc>
          <w:tcPr>
            <w:tcW w:type="dxa" w:w="78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SUPPRESSED数量 ÷ VEHICLE_VALIDATED数量  并按原因码拆分</w:t>
            </w:r>
          </w:p>
        </w:tc>
      </w:tr>
      <w:tr>
        <w:trPr>
          <w:cantSplit/>
        </w:trPr>
        <w:tc>
          <w:tcPr>
            <w:tcW w:type="dxa" w:w="223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车端展示时延</w:t>
            </w:r>
          </w:p>
        </w:tc>
        <w:tc>
          <w:tcPr>
            <w:tcW w:type="dxa" w:w="784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presentedTime 减 sourceTime  同时统计P50 P95 P99</w:t>
            </w:r>
          </w:p>
        </w:tc>
      </w:tr>
      <w:tr>
        <w:trPr>
          <w:cantSplit/>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效果指标</w:t>
            </w:r>
          </w:p>
        </w:tc>
        <w:tc>
          <w:tcPr>
            <w:tcW w:type="dxa" w:w="78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通行效率 冲突风险和驾驶负荷单列评估  不得替代数据正确性与技术准出</w:t>
            </w:r>
          </w:p>
        </w:tc>
      </w:tr>
    </w:tbl>
    <w:p>
      <w:pPr>
        <w:spacing w:before="0" w:after="60" w:line="240" w:lineRule="auto"/>
      </w:pPr>
    </w:p>
    <w:p>
      <w:pPr>
        <w:spacing w:before="0" w:after="120" w:line="317" w:lineRule="auto"/>
      </w:pPr>
      <w:r>
        <w:rPr>
          <w:rFonts w:ascii="Hiragino Sans GB" w:hAnsi="Hiragino Sans GB" w:eastAsia="Hiragino Sans GB"/>
          <w:b/>
          <w:color w:val="000000"/>
          <w:sz w:val="22"/>
        </w:rPr>
        <w:t xml:space="preserve">测试结果元数据  </w:t>
      </w:r>
      <w:r>
        <w:rPr>
          <w:rFonts w:ascii="Hiragino Sans GB" w:hAnsi="Hiragino Sans GB" w:eastAsia="Hiragino Sans GB"/>
          <w:color w:val="000000"/>
          <w:sz w:val="22"/>
        </w:rPr>
        <w:t>每项性能与效果结论必须同时记录道路或路口、车型与软件版本、网络制式与信号质量、时间段、车速与系统负载、样本量、真值设备和异常剔除规则，避免脱离测试条件复用结论。</w:t>
      </w:r>
    </w:p>
    <w:p>
      <w:pPr>
        <w:pStyle w:val="Heading2"/>
        <w:keepNext/>
        <w:spacing w:before="180" w:after="100" w:line="276" w:lineRule="auto"/>
      </w:pPr>
      <w:r>
        <w:rPr>
          <w:rFonts w:ascii="Hiragino Sans GB" w:hAnsi="Hiragino Sans GB" w:eastAsia="Hiragino Sans GB"/>
          <w:b/>
          <w:color w:val="000000"/>
          <w:sz w:val="27"/>
        </w:rPr>
        <w:t>十三点三 分级测试门禁</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门禁</w:t>
            </w:r>
          </w:p>
        </w:tc>
        <w:tc>
          <w:tcPr>
            <w:tcW w:type="dxa" w:w="518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测试内容</w:t>
            </w:r>
          </w:p>
        </w:tc>
        <w:tc>
          <w:tcPr>
            <w:tcW w:type="dxa" w:w="316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准出条件</w:t>
            </w:r>
          </w:p>
        </w:tc>
      </w:tr>
      <w:tr>
        <w:trPr>
          <w:cantSplit/>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G0 文档与责任</w:t>
            </w:r>
          </w:p>
        </w:tc>
        <w:tc>
          <w:tcPr>
            <w:tcW w:type="dxa" w:w="51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场景  数据  标准Profile  RACI  合规和安全边界</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各责任方签字  无未分配关键责任</w:t>
            </w:r>
          </w:p>
        </w:tc>
      </w:tr>
      <w:tr>
        <w:trPr>
          <w:cantSplit/>
        </w:trPr>
        <w:tc>
          <w:tcPr>
            <w:tcW w:type="dxa" w:w="172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G1 数据源与仿真</w:t>
            </w:r>
          </w:p>
        </w:tc>
        <w:tc>
          <w:tcPr>
            <w:tcW w:type="dxa" w:w="518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数据重放  边界值  缺失  过期  冲突  错误注入</w:t>
            </w:r>
          </w:p>
        </w:tc>
        <w:tc>
          <w:tcPr>
            <w:tcW w:type="dxa" w:w="316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质量规则和所有异常出口可复现</w:t>
            </w:r>
          </w:p>
        </w:tc>
      </w:tr>
      <w:tr>
        <w:trPr>
          <w:cantSplit/>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G2 云云与SIL/HIL</w:t>
            </w:r>
          </w:p>
        </w:tc>
        <w:tc>
          <w:tcPr>
            <w:tcW w:type="dxa" w:w="51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城市云 TSP 车端代理  证书  负载  去重 回执</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接口与状态闭环  性能达到阶段目标</w:t>
            </w:r>
          </w:p>
        </w:tc>
      </w:tr>
      <w:tr>
        <w:trPr>
          <w:cantSplit/>
        </w:trPr>
        <w:tc>
          <w:tcPr>
            <w:tcW w:type="dxa" w:w="172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G3 封闭场地</w:t>
            </w:r>
          </w:p>
        </w:tc>
        <w:tc>
          <w:tcPr>
            <w:tcW w:type="dxa" w:w="518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真实车辆  信号  遮挡  VRU  停车  拥堵和断链</w:t>
            </w:r>
          </w:p>
        </w:tc>
        <w:tc>
          <w:tcPr>
            <w:tcW w:type="dxa" w:w="316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误报漏报 时延 HMI和降级通过</w:t>
            </w:r>
          </w:p>
        </w:tc>
      </w:tr>
      <w:tr>
        <w:trPr>
          <w:cantSplit/>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G4 开放道路示范</w:t>
            </w:r>
          </w:p>
        </w:tc>
        <w:tc>
          <w:tcPr>
            <w:tcW w:type="dxa" w:w="51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限定ODD和路线的连续运行  运维与事件响应</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稳定性和安全评审签字  无未关闭严重缺陷</w:t>
            </w:r>
          </w:p>
        </w:tc>
      </w:tr>
      <w:tr>
        <w:trPr>
          <w:cantSplit/>
        </w:trPr>
        <w:tc>
          <w:tcPr>
            <w:tcW w:type="dxa" w:w="172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G5 量产发布</w:t>
            </w:r>
          </w:p>
        </w:tc>
        <w:tc>
          <w:tcPr>
            <w:tcW w:type="dxa" w:w="518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DV/PV  生产一致性  OTA  售后  召回  安全档案</w:t>
            </w:r>
          </w:p>
        </w:tc>
        <w:tc>
          <w:tcPr>
            <w:tcW w:type="dxa" w:w="316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车型发布委员会及相关责任方准出</w:t>
            </w:r>
          </w:p>
        </w:tc>
      </w:tr>
    </w:tbl>
    <w:p>
      <w:pPr>
        <w:spacing w:before="0" w:after="60" w:line="240" w:lineRule="auto"/>
      </w:pPr>
    </w:p>
    <w:p>
      <w:pPr>
        <w:spacing w:before="0" w:after="120" w:line="317" w:lineRule="auto"/>
      </w:pPr>
      <w:r>
        <w:rPr>
          <w:rFonts w:ascii="Hiragino Sans GB" w:hAnsi="Hiragino Sans GB" w:eastAsia="Hiragino Sans GB"/>
          <w:b/>
          <w:color w:val="000000"/>
          <w:sz w:val="22"/>
        </w:rPr>
        <w:t xml:space="preserve">零容忍项  </w:t>
      </w:r>
      <w:r>
        <w:rPr>
          <w:rFonts w:ascii="Hiragino Sans GB" w:hAnsi="Hiragino Sans GB" w:eastAsia="Hiragino Sans GB"/>
          <w:color w:val="000000"/>
          <w:sz w:val="22"/>
        </w:rPr>
        <w:t>过期安全消息仍展示、信号灯方向或车道匹配错误、GLOSA给出超限速度、同一P0风险重复轰炸、验签失败数据被消费、城市云绕过OEM安全机制直接控制量产车执行器，任一发生即判定对应门禁不通过。</w:t>
      </w:r>
    </w:p>
    <w:p>
      <w:pPr>
        <w:spacing w:before="0" w:after="120" w:line="317" w:lineRule="auto"/>
      </w:pPr>
      <w:r>
        <w:rPr>
          <w:rFonts w:ascii="Hiragino Sans GB" w:hAnsi="Hiragino Sans GB" w:eastAsia="Hiragino Sans GB"/>
          <w:b/>
          <w:color w:val="000000"/>
          <w:sz w:val="22"/>
        </w:rPr>
        <w:t xml:space="preserve">安全准出要求  </w:t>
      </w:r>
      <w:r>
        <w:rPr>
          <w:rFonts w:ascii="Hiragino Sans GB" w:hAnsi="Hiragino Sans GB" w:eastAsia="Hiragino Sans GB"/>
          <w:color w:val="000000"/>
          <w:sz w:val="22"/>
        </w:rPr>
        <w:t>发布前不得存在未关闭的高危或严重网络安全漏洞；涉及量产车型时，整改、例外接受和残余风险均须由有权责任人留痕签字。</w:t>
      </w:r>
    </w:p>
    <w:p>
      <w:pPr>
        <w:pStyle w:val="Heading1"/>
        <w:keepNext/>
        <w:spacing w:before="280" w:after="140" w:line="276" w:lineRule="auto"/>
      </w:pPr>
      <w:r>
        <w:rPr>
          <w:rFonts w:ascii="Hiragino Sans GB" w:hAnsi="Hiragino Sans GB" w:eastAsia="Hiragino Sans GB"/>
          <w:b/>
          <w:color w:val="000000"/>
          <w:sz w:val="32"/>
        </w:rPr>
        <w:t>十四 分阶段建设路线</w:t>
      </w:r>
    </w:p>
    <w:p>
      <w:pPr>
        <w:spacing w:before="0" w:after="140" w:line="317" w:lineRule="auto"/>
      </w:pPr>
      <w:r>
        <w:rPr>
          <w:rFonts w:ascii="Hiragino Sans GB" w:hAnsi="Hiragino Sans GB" w:eastAsia="Hiragino Sans GB"/>
          <w:b/>
          <w:color w:val="000000"/>
          <w:sz w:val="22"/>
        </w:rPr>
        <w:t xml:space="preserve">P0 标准与数据基线  </w:t>
      </w:r>
      <w:r>
        <w:rPr>
          <w:rFonts w:ascii="Hiragino Sans GB" w:hAnsi="Hiragino Sans GB" w:eastAsia="Hiragino Sans GB"/>
          <w:color w:val="000000"/>
          <w:sz w:val="22"/>
        </w:rPr>
        <w:t>冻结六类场景  数据权属  质量规则  车辆能力  接口ICD  协议Profile  地图编码  沙箱和回放数据。无交管授权、地图映射或OEM能力表不进入实车开发。</w:t>
      </w:r>
    </w:p>
    <w:p>
      <w:pPr>
        <w:spacing w:before="0" w:after="140" w:line="317" w:lineRule="auto"/>
      </w:pPr>
      <w:r>
        <w:rPr>
          <w:rFonts w:ascii="Hiragino Sans GB" w:hAnsi="Hiragino Sans GB" w:eastAsia="Hiragino Sans GB"/>
          <w:b/>
          <w:color w:val="000000"/>
          <w:sz w:val="22"/>
        </w:rPr>
        <w:t xml:space="preserve">P1 示范车MVP  </w:t>
      </w:r>
      <w:r>
        <w:rPr>
          <w:rFonts w:ascii="Hiragino Sans GB" w:hAnsi="Hiragino Sans GB" w:eastAsia="Hiragino Sans GB"/>
          <w:color w:val="000000"/>
          <w:sz w:val="22"/>
        </w:rPr>
        <w:t>通过PC5和Uu完成信号、GLOSA、拥堵、VRU、异常停车及闯红灯风险的信息或预警闭环。形成仿真、场地和道路证据，不介入车辆控制。</w:t>
      </w:r>
    </w:p>
    <w:p>
      <w:pPr>
        <w:spacing w:before="0" w:after="140" w:line="317" w:lineRule="auto"/>
      </w:pPr>
      <w:r>
        <w:rPr>
          <w:rFonts w:ascii="Hiragino Sans GB" w:hAnsi="Hiragino Sans GB" w:eastAsia="Hiragino Sans GB"/>
          <w:b/>
          <w:color w:val="000000"/>
          <w:sz w:val="22"/>
        </w:rPr>
        <w:t xml:space="preserve">P2 OEM工程车原生接入  </w:t>
      </w:r>
      <w:r>
        <w:rPr>
          <w:rFonts w:ascii="Hiragino Sans GB" w:hAnsi="Hiragino Sans GB" w:eastAsia="Hiragino Sans GB"/>
          <w:color w:val="000000"/>
          <w:sz w:val="22"/>
        </w:rPr>
        <w:t>建设城市云与OEM TSP网关，实现车型能力注册、地理或路线订阅、原生仪表/HUD/导航、回执、证书、灰度和OTA。</w:t>
      </w:r>
    </w:p>
    <w:p>
      <w:pPr>
        <w:spacing w:before="0" w:after="140" w:line="317" w:lineRule="auto"/>
      </w:pPr>
      <w:r>
        <w:rPr>
          <w:rFonts w:ascii="Hiragino Sans GB" w:hAnsi="Hiragino Sans GB" w:eastAsia="Hiragino Sans GB"/>
          <w:b/>
          <w:color w:val="000000"/>
          <w:sz w:val="22"/>
        </w:rPr>
        <w:t xml:space="preserve">P3 量产SOP  </w:t>
      </w:r>
      <w:r>
        <w:rPr>
          <w:rFonts w:ascii="Hiragino Sans GB" w:hAnsi="Hiragino Sans GB" w:eastAsia="Hiragino Sans GB"/>
          <w:color w:val="000000"/>
          <w:sz w:val="22"/>
        </w:rPr>
        <w:t>完成前装硬件、HSM、工厂注入、功能安全、SOTIF、网络与数据安全、DV/PV、生产一致性、准入和供应链签署。</w:t>
      </w:r>
    </w:p>
    <w:p>
      <w:pPr>
        <w:spacing w:before="0" w:after="140" w:line="317" w:lineRule="auto"/>
      </w:pPr>
      <w:r>
        <w:rPr>
          <w:rFonts w:ascii="Hiragino Sans GB" w:hAnsi="Hiragino Sans GB" w:eastAsia="Hiragino Sans GB"/>
          <w:b/>
          <w:color w:val="000000"/>
          <w:sz w:val="22"/>
        </w:rPr>
        <w:t xml:space="preserve">P4 规模运营  </w:t>
      </w:r>
      <w:r>
        <w:rPr>
          <w:rFonts w:ascii="Hiragino Sans GB" w:hAnsi="Hiragino Sans GB" w:eastAsia="Hiragino Sans GB"/>
          <w:color w:val="000000"/>
          <w:sz w:val="22"/>
        </w:rPr>
        <w:t>支持多OEM、多车型、多运营商、跨区域身份互认、跨区服务连续性、SLA、事件响应、漏洞修复、结算和服务退役。</w:t>
      </w:r>
    </w:p>
    <w:p>
      <w:pPr>
        <w:spacing w:before="0" w:after="120" w:line="317" w:lineRule="auto"/>
      </w:pPr>
      <w:r>
        <w:rPr>
          <w:rFonts w:ascii="Hiragino Sans GB" w:hAnsi="Hiragino Sans GB" w:eastAsia="Hiragino Sans GB"/>
          <w:b/>
          <w:color w:val="000000"/>
          <w:sz w:val="22"/>
        </w:rPr>
        <w:t xml:space="preserve">扩展规则  </w:t>
      </w:r>
      <w:r>
        <w:rPr>
          <w:rFonts w:ascii="Hiragino Sans GB" w:hAnsi="Hiragino Sans GB" w:eastAsia="Hiragino Sans GB"/>
          <w:color w:val="000000"/>
          <w:sz w:val="22"/>
        </w:rPr>
        <w:t>上一阶段的数据质量、覆盖、降级、安全和责任边界未签字，不扩车、不扩场景。阶段工期和车辆规模应在完成现状基线后估算，不在总体方案中虚构固定数字。</w:t>
      </w:r>
    </w:p>
    <w:p>
      <w:pPr>
        <w:pStyle w:val="Heading1"/>
        <w:keepNext/>
        <w:spacing w:before="280" w:after="140" w:line="276" w:lineRule="auto"/>
      </w:pPr>
      <w:r>
        <w:rPr>
          <w:rFonts w:ascii="Hiragino Sans GB" w:hAnsi="Hiragino Sans GB" w:eastAsia="Hiragino Sans GB"/>
          <w:b/>
          <w:color w:val="000000"/>
          <w:sz w:val="32"/>
        </w:rPr>
        <w:t>十五 风险与待核验项</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风险</w:t>
            </w:r>
          </w:p>
        </w:tc>
        <w:tc>
          <w:tcPr>
            <w:tcW w:type="dxa" w:w="475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当前问题</w:t>
            </w:r>
          </w:p>
        </w:tc>
        <w:tc>
          <w:tcPr>
            <w:tcW w:type="dxa" w:w="3671"/>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控制措施</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R1 信号真实性</w:t>
            </w:r>
          </w:p>
        </w:tc>
        <w:tc>
          <w:tcPr>
            <w:tcW w:type="dxa" w:w="47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尚需核验信号机品牌  上游协议  相位编码  自适应控制  灯态时间精度和故障状态。</w:t>
            </w:r>
          </w:p>
        </w:tc>
        <w:tc>
          <w:tcPr>
            <w:tcW w:type="dxa" w:w="367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未核验前仅做离线联调  不承诺倒计时和GLOSA。</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R2 道路数字化</w:t>
            </w:r>
          </w:p>
        </w:tc>
        <w:tc>
          <w:tcPr>
            <w:tcW w:type="dxa" w:w="475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尚需核验路口 车道 停止线 信号组编码以及车载地图版本差异。</w:t>
            </w:r>
          </w:p>
        </w:tc>
        <w:tc>
          <w:tcPr>
            <w:tcW w:type="dxa" w:w="367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建立地图版本对账  不一致时降级。</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R3 网络和覆盖</w:t>
            </w:r>
          </w:p>
        </w:tc>
        <w:tc>
          <w:tcPr>
            <w:tcW w:type="dxa" w:w="47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安装RSU或具备5G不等于满足安全时延和连续性。</w:t>
            </w:r>
          </w:p>
        </w:tc>
        <w:tc>
          <w:tcPr>
            <w:tcW w:type="dxa" w:w="367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按路线和场景实测P50 P95 P99  明确盲区。</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R4 OEM能力未知</w:t>
            </w:r>
          </w:p>
        </w:tc>
        <w:tc>
          <w:tcPr>
            <w:tcW w:type="dxa" w:w="475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目标车型 年款 TSP HMI PC5及OTA能力尚未冻结。</w:t>
            </w:r>
          </w:p>
        </w:tc>
        <w:tc>
          <w:tcPr>
            <w:tcW w:type="dxa" w:w="367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先完成车型—场景—能力矩阵。</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R5 接口标准空白</w:t>
            </w:r>
          </w:p>
        </w:tc>
        <w:tc>
          <w:tcPr>
            <w:tcW w:type="dxa" w:w="47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城市云到所有OEM TSP尚无统一强制开放接口。</w:t>
            </w:r>
          </w:p>
        </w:tc>
        <w:tc>
          <w:tcPr>
            <w:tcW w:type="dxa" w:w="367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冻结济南Profile  建立版本和兼容策略。</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R6 数据与测绘</w:t>
            </w:r>
          </w:p>
        </w:tc>
        <w:tc>
          <w:tcPr>
            <w:tcW w:type="dxa" w:w="475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轨迹 影像 点云 地图和事故数据的主体责任可能跨多个单位。</w:t>
            </w:r>
          </w:p>
        </w:tc>
        <w:tc>
          <w:tcPr>
            <w:tcW w:type="dxa" w:w="367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完成数据处理和测绘责任矩阵。</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R7 告警误用</w:t>
            </w:r>
          </w:p>
        </w:tc>
        <w:tc>
          <w:tcPr>
            <w:tcW w:type="dxa" w:w="47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将普通灯态称为预警或将低置信目标输出为精确风险会误导驾驶人。</w:t>
            </w:r>
          </w:p>
        </w:tc>
        <w:tc>
          <w:tcPr>
            <w:tcW w:type="dxa" w:w="367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分开基础服务 风险算法 HMI等级和质量门禁。</w:t>
            </w:r>
          </w:p>
        </w:tc>
      </w:tr>
      <w:tr>
        <w:trPr>
          <w:cantSplit/>
        </w:trPr>
        <w:tc>
          <w:tcPr>
            <w:tcW w:type="dxa" w:w="1655"/>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R8 验收口径</w:t>
            </w:r>
          </w:p>
        </w:tc>
        <w:tc>
          <w:tcPr>
            <w:tcW w:type="dxa" w:w="475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接口连通和传输ACK容易被错误视为业务成功。</w:t>
            </w:r>
          </w:p>
        </w:tc>
        <w:tc>
          <w:tcPr>
            <w:tcW w:type="dxa" w:w="3671"/>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分离车端校验 展示 消费 抑制和异常状态。</w:t>
            </w:r>
          </w:p>
        </w:tc>
      </w:tr>
      <w:tr>
        <w:trPr>
          <w:cantSplit/>
        </w:trPr>
        <w:tc>
          <w:tcPr>
            <w:tcW w:type="dxa" w:w="1655"/>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7"/>
              </w:rPr>
              <w:t>R9 量产责任</w:t>
            </w:r>
          </w:p>
        </w:tc>
        <w:tc>
          <w:tcPr>
            <w:tcW w:type="dxa" w:w="47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城市数据若直接进入车辆控制将显著扩大安全和召回责任。</w:t>
            </w:r>
          </w:p>
        </w:tc>
        <w:tc>
          <w:tcPr>
            <w:tcW w:type="dxa" w:w="3671"/>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7"/>
              </w:rPr>
              <w:t>第一阶段只做信息预警  控制输入单独车型立项。</w:t>
            </w:r>
          </w:p>
        </w:tc>
      </w:tr>
    </w:tbl>
    <w:p>
      <w:pPr>
        <w:spacing w:before="0" w:after="60" w:line="240" w:lineRule="auto"/>
      </w:pPr>
    </w:p>
    <w:p>
      <w:pPr>
        <w:spacing w:before="0" w:after="120" w:line="317" w:lineRule="auto"/>
      </w:pPr>
      <w:r>
        <w:rPr>
          <w:rFonts w:ascii="Hiragino Sans GB" w:hAnsi="Hiragino Sans GB" w:eastAsia="Hiragino Sans GB"/>
          <w:b/>
          <w:color w:val="000000"/>
          <w:sz w:val="22"/>
        </w:rPr>
        <w:t xml:space="preserve">资料边界  </w:t>
      </w:r>
      <w:r>
        <w:rPr>
          <w:rFonts w:ascii="Hiragino Sans GB" w:hAnsi="Hiragino Sans GB" w:eastAsia="Hiragino Sans GB"/>
          <w:color w:val="000000"/>
          <w:sz w:val="22"/>
        </w:rPr>
        <w:t>本方案对济南现有平台能力的理解参考既有项目资料，但未把该资料当作当前生产验收证据。后续应以现网清单、接口实测、配置导出、运行日志和联合签字为准。</w:t>
      </w:r>
      <w:r>
        <w:br w:type="page"/>
      </w:r>
    </w:p>
    <w:p>
      <w:pPr>
        <w:pStyle w:val="Heading1"/>
        <w:keepNext/>
        <w:spacing w:before="280" w:after="140" w:line="276" w:lineRule="auto"/>
      </w:pPr>
      <w:r>
        <w:rPr>
          <w:rFonts w:ascii="Hiragino Sans GB" w:hAnsi="Hiragino Sans GB" w:eastAsia="Hiragino Sans GB"/>
          <w:b/>
          <w:color w:val="000000"/>
          <w:sz w:val="32"/>
        </w:rPr>
        <w:t>附录A 车辆能力画像字段</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字段组</w:t>
            </w:r>
          </w:p>
        </w:tc>
        <w:tc>
          <w:tcPr>
            <w:tcW w:type="dxa" w:w="799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建议内容</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身份与版本</w:t>
            </w:r>
          </w:p>
        </w:tc>
        <w:tc>
          <w:tcPr>
            <w:tcW w:type="dxa" w:w="79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partnerId  vehiclePseudonym  model  modelYear  trim  softwareVersion  mapVersion</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通信能力</w:t>
            </w:r>
          </w:p>
        </w:tc>
        <w:tc>
          <w:tcPr>
            <w:tcW w:type="dxa" w:w="79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PC5  Uu  OEM TSP  eSIM或APN  支持频段  最大消息频率  网络质量字段</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消息能力</w:t>
            </w:r>
          </w:p>
        </w:tc>
        <w:tc>
          <w:tcPr>
            <w:tcW w:type="dxa" w:w="79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T/CSAE消息集版本  支持的MAP SPAT RSI RSM SSM  扩展字段Profile</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定位能力</w:t>
            </w:r>
          </w:p>
        </w:tc>
        <w:tc>
          <w:tcPr>
            <w:tcW w:type="dxa" w:w="79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GNSS IMU  定位精度等级  车道级匹配  时间同步  质量位</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HMI能力</w:t>
            </w:r>
          </w:p>
        </w:tc>
        <w:tc>
          <w:tcPr>
            <w:tcW w:type="dxa" w:w="79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仪表 HUD 中控 导航 语音 触觉  可支持的P0 P1 P2等级</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智驾能力</w:t>
            </w:r>
          </w:p>
        </w:tc>
        <w:tc>
          <w:tcPr>
            <w:tcW w:type="dxa" w:w="79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自动化等级  可接收信息 预警或智驾输入  ODD  本车融合和仲裁能力</w:t>
            </w:r>
          </w:p>
        </w:tc>
      </w:tr>
      <w:tr>
        <w:trPr>
          <w:cantSplit/>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安全能力</w:t>
            </w:r>
          </w:p>
        </w:tc>
        <w:tc>
          <w:tcPr>
            <w:tcW w:type="dxa" w:w="79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HSM  证书域  加密套件  证书轮换  安全启动  日志和数据记录</w:t>
            </w:r>
          </w:p>
        </w:tc>
      </w:tr>
      <w:tr>
        <w:trPr>
          <w:cantSplit/>
        </w:trPr>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运维能力</w:t>
            </w:r>
          </w:p>
        </w:tc>
        <w:tc>
          <w:tcPr>
            <w:tcW w:type="dxa" w:w="7992"/>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OTA 灰度 回滚  诊断  远程配置  售后和召回能力</w:t>
            </w:r>
          </w:p>
        </w:tc>
      </w:tr>
    </w:tbl>
    <w:p>
      <w:pPr>
        <w:spacing w:before="0" w:after="60" w:line="240" w:lineRule="auto"/>
      </w:pPr>
    </w:p>
    <w:p>
      <w:pPr>
        <w:pStyle w:val="Heading1"/>
        <w:keepNext/>
        <w:spacing w:before="280" w:after="140" w:line="276" w:lineRule="auto"/>
      </w:pPr>
      <w:r>
        <w:rPr>
          <w:rFonts w:ascii="Hiragino Sans GB" w:hAnsi="Hiragino Sans GB" w:eastAsia="Hiragino Sans GB"/>
          <w:b/>
          <w:color w:val="000000"/>
          <w:sz w:val="32"/>
        </w:rPr>
        <w:t>附录B 场景最小字段集</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服务</w:t>
            </w:r>
          </w:p>
        </w:tc>
        <w:tc>
          <w:tcPr>
            <w:tcW w:type="dxa" w:w="813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8"/>
              </w:rPr>
              <w:t>最小字段</w:t>
            </w:r>
          </w:p>
        </w:tc>
      </w:tr>
      <w:tr>
        <w:trPr>
          <w:cantSplit/>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信号基础</w:t>
            </w:r>
          </w:p>
        </w:tc>
        <w:tc>
          <w:tcPr>
            <w:tcW w:type="dxa" w:w="81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MAP路口车道连接  SPAT信号组灯态 时间范围 控制模式  质量 有效期</w:t>
            </w:r>
          </w:p>
        </w:tc>
      </w:tr>
      <w:tr>
        <w:trPr>
          <w:cantSplit/>
        </w:trPr>
        <w:tc>
          <w:tcPr>
            <w:tcW w:type="dxa" w:w="194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GLOSA</w:t>
            </w:r>
          </w:p>
        </w:tc>
        <w:tc>
          <w:tcPr>
            <w:tcW w:type="dxa" w:w="81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目标信号组  建议速度上下限  适用距离  限速  排队依据  预测质量  TTL</w:t>
            </w:r>
          </w:p>
        </w:tc>
      </w:tr>
      <w:tr>
        <w:trPr>
          <w:cantSplit/>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闯红灯风险</w:t>
            </w:r>
          </w:p>
        </w:tc>
        <w:tc>
          <w:tcPr>
            <w:tcW w:type="dxa" w:w="81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停止线  风险等级  越线预测窗口  建议动作  数据质量  TTL</w:t>
            </w:r>
          </w:p>
        </w:tc>
      </w:tr>
      <w:tr>
        <w:trPr>
          <w:cantSplit/>
        </w:trPr>
        <w:tc>
          <w:tcPr>
            <w:tcW w:type="dxa" w:w="194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拥堵队尾</w:t>
            </w:r>
          </w:p>
        </w:tc>
        <w:tc>
          <w:tcPr>
            <w:tcW w:type="dxa" w:w="81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道路车道  队尾位置  距离  长度  平均速度  趋势  等级  TTL</w:t>
            </w:r>
          </w:p>
        </w:tc>
      </w:tr>
      <w:tr>
        <w:trPr>
          <w:cantSplit/>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VRU风险</w:t>
            </w:r>
          </w:p>
        </w:tc>
        <w:tc>
          <w:tcPr>
            <w:tcW w:type="dxa" w:w="81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目标匿名ID  类型  位置速度航向  轨迹  冲突点  方向  风险  置信度  TTL</w:t>
            </w:r>
          </w:p>
        </w:tc>
      </w:tr>
      <w:tr>
        <w:trPr>
          <w:cantSplit/>
        </w:trPr>
        <w:tc>
          <w:tcPr>
            <w:tcW w:type="dxa" w:w="194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异常停车</w:t>
            </w:r>
          </w:p>
        </w:tc>
        <w:tc>
          <w:tcPr>
            <w:tcW w:type="dxa" w:w="81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位置  道路车道  方向  异常类型  持续时间  来源  置信度  建议  TTL</w:t>
            </w:r>
          </w:p>
        </w:tc>
      </w:tr>
      <w:tr>
        <w:trPr>
          <w:cantSplit/>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center"/>
            </w:pPr>
            <w:r>
              <w:rPr>
                <w:rFonts w:ascii="Hiragino Sans GB" w:hAnsi="Hiragino Sans GB" w:eastAsia="Hiragino Sans GB"/>
                <w:b/>
                <w:color w:val="000000"/>
                <w:sz w:val="18"/>
              </w:rPr>
              <w:t>统一回执</w:t>
            </w:r>
          </w:p>
        </w:tc>
        <w:tc>
          <w:tcPr>
            <w:tcW w:type="dxa" w:w="81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8"/>
              </w:rPr>
              <w:t>eventId  revision  received validated presented consumed suppressed expired  reasonCode  time</w:t>
            </w:r>
          </w:p>
        </w:tc>
      </w:tr>
    </w:tbl>
    <w:p>
      <w:pPr>
        <w:spacing w:before="0" w:after="60" w:line="240" w:lineRule="auto"/>
      </w:pPr>
    </w:p>
    <w:p>
      <w:pPr>
        <w:pStyle w:val="Heading1"/>
        <w:keepNext/>
        <w:spacing w:before="280" w:after="140" w:line="276" w:lineRule="auto"/>
      </w:pPr>
      <w:r>
        <w:rPr>
          <w:rFonts w:ascii="Hiragino Sans GB" w:hAnsi="Hiragino Sans GB" w:eastAsia="Hiragino Sans GB"/>
          <w:b/>
          <w:color w:val="000000"/>
          <w:sz w:val="32"/>
        </w:rPr>
        <w:t>附录C 联合责任矩阵</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73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6"/>
              </w:rPr>
              <w:t>事项</w:t>
            </w:r>
          </w:p>
        </w:tc>
        <w:tc>
          <w:tcPr>
            <w:tcW w:type="dxa" w:w="2088"/>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6"/>
              </w:rPr>
              <w:t>A最终负责</w:t>
            </w:r>
          </w:p>
        </w:tc>
        <w:tc>
          <w:tcPr>
            <w:tcW w:type="dxa" w:w="237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6"/>
              </w:rPr>
              <w:t>R执行</w:t>
            </w:r>
          </w:p>
        </w:tc>
        <w:tc>
          <w:tcPr>
            <w:tcW w:type="dxa" w:w="1944"/>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6"/>
              </w:rPr>
              <w:t>C协商</w:t>
            </w:r>
          </w:p>
        </w:tc>
        <w:tc>
          <w:tcPr>
            <w:tcW w:type="dxa" w:w="93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6"/>
              </w:rPr>
              <w:t>I知会</w:t>
            </w:r>
          </w:p>
        </w:tc>
      </w:tr>
      <w:tr>
        <w:trPr>
          <w:cantSplit/>
        </w:trPr>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信号及交通事件权威性</w:t>
            </w:r>
          </w:p>
        </w:tc>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交管部门</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城市运营方</w:t>
            </w:r>
          </w:p>
        </w:tc>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信号与路侧供应商</w:t>
            </w:r>
          </w:p>
        </w:tc>
        <w:tc>
          <w:tcPr>
            <w:tcW w:type="dxa" w:w="9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OEM</w:t>
            </w:r>
          </w:p>
        </w:tc>
      </w:tr>
      <w:tr>
        <w:trPr>
          <w:cantSplit/>
        </w:trPr>
        <w:tc>
          <w:tcPr>
            <w:tcW w:type="dxa" w:w="27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服务生成与城市平台运行</w:t>
            </w:r>
          </w:p>
        </w:tc>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城市运营方</w:t>
            </w:r>
          </w:p>
        </w:tc>
        <w:tc>
          <w:tcPr>
            <w:tcW w:type="dxa" w:w="237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项目建设方</w:t>
            </w:r>
          </w:p>
        </w:tc>
        <w:tc>
          <w:tcPr>
            <w:tcW w:type="dxa" w:w="194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交管和数据源单位</w:t>
            </w:r>
          </w:p>
        </w:tc>
        <w:tc>
          <w:tcPr>
            <w:tcW w:type="dxa" w:w="9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OEM</w:t>
            </w:r>
          </w:p>
        </w:tc>
      </w:tr>
      <w:tr>
        <w:trPr>
          <w:cantSplit/>
        </w:trPr>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PC5路侧覆盖与维护</w:t>
            </w:r>
          </w:p>
        </w:tc>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城市运营方</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路侧或通信供应商</w:t>
            </w:r>
          </w:p>
        </w:tc>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交管 项目建设方</w:t>
            </w:r>
          </w:p>
        </w:tc>
        <w:tc>
          <w:tcPr>
            <w:tcW w:type="dxa" w:w="9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OEM</w:t>
            </w:r>
          </w:p>
        </w:tc>
      </w:tr>
      <w:tr>
        <w:trPr>
          <w:cantSplit/>
        </w:trPr>
        <w:tc>
          <w:tcPr>
            <w:tcW w:type="dxa" w:w="27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OEM TSP和量产车型接入</w:t>
            </w:r>
          </w:p>
        </w:tc>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OEM</w:t>
            </w:r>
          </w:p>
        </w:tc>
        <w:tc>
          <w:tcPr>
            <w:tcW w:type="dxa" w:w="237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OEM TSP与车端供应商</w:t>
            </w:r>
          </w:p>
        </w:tc>
        <w:tc>
          <w:tcPr>
            <w:tcW w:type="dxa" w:w="194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城市运营方</w:t>
            </w:r>
          </w:p>
        </w:tc>
        <w:tc>
          <w:tcPr>
            <w:tcW w:type="dxa" w:w="9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交管部门</w:t>
            </w:r>
          </w:p>
        </w:tc>
      </w:tr>
      <w:tr>
        <w:trPr>
          <w:cantSplit/>
        </w:trPr>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车端HMI和安全仲裁</w:t>
            </w:r>
          </w:p>
        </w:tc>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OEM</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车型项目与车端团队</w:t>
            </w:r>
          </w:p>
        </w:tc>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城市运营方</w:t>
            </w:r>
          </w:p>
        </w:tc>
        <w:tc>
          <w:tcPr>
            <w:tcW w:type="dxa" w:w="9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交管部门</w:t>
            </w:r>
          </w:p>
        </w:tc>
      </w:tr>
      <w:tr>
        <w:trPr>
          <w:cantSplit/>
        </w:trPr>
        <w:tc>
          <w:tcPr>
            <w:tcW w:type="dxa" w:w="27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证书跨域和异常终端处置</w:t>
            </w:r>
          </w:p>
        </w:tc>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双方约定的信任运营主体</w:t>
            </w:r>
          </w:p>
        </w:tc>
        <w:tc>
          <w:tcPr>
            <w:tcW w:type="dxa" w:w="237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城市与OEM安全团队</w:t>
            </w:r>
          </w:p>
        </w:tc>
        <w:tc>
          <w:tcPr>
            <w:tcW w:type="dxa" w:w="194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设备和通信供应商</w:t>
            </w:r>
          </w:p>
        </w:tc>
        <w:tc>
          <w:tcPr>
            <w:tcW w:type="dxa" w:w="9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交管监管方</w:t>
            </w:r>
          </w:p>
        </w:tc>
      </w:tr>
      <w:tr>
        <w:trPr>
          <w:cantSplit/>
        </w:trPr>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数据合规与用户权益</w:t>
            </w:r>
          </w:p>
        </w:tc>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按数据流确定的处理主体</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城市与OEM合规团队</w:t>
            </w:r>
          </w:p>
        </w:tc>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供应商和法律顾问</w:t>
            </w:r>
          </w:p>
        </w:tc>
        <w:tc>
          <w:tcPr>
            <w:tcW w:type="dxa" w:w="9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主管部门</w:t>
            </w:r>
          </w:p>
        </w:tc>
      </w:tr>
      <w:tr>
        <w:trPr>
          <w:cantSplit/>
        </w:trPr>
        <w:tc>
          <w:tcPr>
            <w:tcW w:type="dxa" w:w="27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联合测试与准出</w:t>
            </w:r>
          </w:p>
        </w:tc>
        <w:tc>
          <w:tcPr>
            <w:tcW w:type="dxa" w:w="2088"/>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阶段评审委员会</w:t>
            </w:r>
          </w:p>
        </w:tc>
        <w:tc>
          <w:tcPr>
            <w:tcW w:type="dxa" w:w="237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项目测试负责人</w:t>
            </w:r>
          </w:p>
        </w:tc>
        <w:tc>
          <w:tcPr>
            <w:tcW w:type="dxa" w:w="1944"/>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 OEM 交管 供应商</w:t>
            </w:r>
          </w:p>
        </w:tc>
        <w:tc>
          <w:tcPr>
            <w:tcW w:type="dxa" w:w="936"/>
            <w:shd w:fill="F4F7FB"/>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相关管理方</w:t>
            </w:r>
          </w:p>
        </w:tc>
      </w:tr>
      <w:tr>
        <w:trPr>
          <w:cantSplit/>
        </w:trPr>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color w:val="000000"/>
                <w:sz w:val="16"/>
              </w:rPr>
              <w:t>事故取证与问题复盘</w:t>
            </w:r>
          </w:p>
        </w:tc>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法定主管和责任主体</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城市与OEM联合响应团队</w:t>
            </w:r>
          </w:p>
        </w:tc>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网络 数据源 设备供应商</w:t>
            </w:r>
          </w:p>
        </w:tc>
        <w:tc>
          <w:tcPr>
            <w:tcW w:type="dxa" w:w="9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83" w:lineRule="auto"/>
              <w:jc w:val="left"/>
            </w:pPr>
            <w:r>
              <w:rPr>
                <w:rFonts w:ascii="Hiragino Sans GB" w:hAnsi="Hiragino Sans GB" w:eastAsia="Hiragino Sans GB"/>
                <w:b w:val="0"/>
                <w:color w:val="000000"/>
                <w:sz w:val="16"/>
              </w:rPr>
              <w:t>项目管理方</w:t>
            </w:r>
          </w:p>
        </w:tc>
      </w:tr>
    </w:tbl>
    <w:p>
      <w:pPr>
        <w:spacing w:before="0" w:after="60" w:line="240" w:lineRule="auto"/>
      </w:pPr>
    </w:p>
    <w:p>
      <w:pPr>
        <w:spacing w:before="0" w:after="120" w:line="317" w:lineRule="auto"/>
      </w:pPr>
      <w:r>
        <w:rPr>
          <w:rFonts w:ascii="Hiragino Sans GB" w:hAnsi="Hiragino Sans GB" w:eastAsia="Hiragino Sans GB"/>
          <w:color w:val="000000"/>
          <w:sz w:val="22"/>
        </w:rPr>
        <w:t>说明  表中责任为总体建议。涉及个人信息处理者、重要数据、测绘活动、交通控制权及事故责任时，必须结合实际合同和法定职责重新确认，不能仅以项目角色名称代替法律认定。</w:t>
      </w:r>
    </w:p>
    <w:p>
      <w:pPr>
        <w:pStyle w:val="Heading1"/>
        <w:keepNext/>
        <w:spacing w:before="280" w:after="140" w:line="276" w:lineRule="auto"/>
      </w:pPr>
      <w:r>
        <w:rPr>
          <w:rFonts w:ascii="Hiragino Sans GB" w:hAnsi="Hiragino Sans GB" w:eastAsia="Hiragino Sans GB"/>
          <w:b/>
          <w:color w:val="000000"/>
          <w:sz w:val="32"/>
        </w:rPr>
        <w:t>附录D 评审决策清单</w:t>
      </w:r>
    </w:p>
    <w:p>
      <w:pPr>
        <w:pStyle w:val="ListBullet"/>
        <w:spacing w:before="0" w:after="60" w:line="300" w:lineRule="auto"/>
      </w:pPr>
      <w:r>
        <w:rPr>
          <w:rFonts w:ascii="Hiragino Sans GB" w:hAnsi="Hiragino Sans GB" w:eastAsia="Hiragino Sans GB"/>
          <w:color w:val="000000"/>
          <w:sz w:val="22"/>
        </w:rPr>
        <w:t>□ 一期是否明确只做信息和预警，不进入车辆执行器控制。</w:t>
      </w:r>
    </w:p>
    <w:p>
      <w:pPr>
        <w:pStyle w:val="ListBullet"/>
        <w:spacing w:before="0" w:after="60" w:line="300" w:lineRule="auto"/>
      </w:pPr>
      <w:r>
        <w:rPr>
          <w:rFonts w:ascii="Hiragino Sans GB" w:hAnsi="Hiragino Sans GB" w:eastAsia="Hiragino Sans GB"/>
          <w:color w:val="000000"/>
          <w:sz w:val="22"/>
        </w:rPr>
        <w:t>□ 目标OEM、车型、年款、软件版本、SOP和首批道路范围是否明确。</w:t>
      </w:r>
    </w:p>
    <w:p>
      <w:pPr>
        <w:pStyle w:val="ListBullet"/>
        <w:spacing w:before="0" w:after="60" w:line="300" w:lineRule="auto"/>
      </w:pPr>
      <w:r>
        <w:rPr>
          <w:rFonts w:ascii="Hiragino Sans GB" w:hAnsi="Hiragino Sans GB" w:eastAsia="Hiragino Sans GB"/>
          <w:color w:val="000000"/>
          <w:sz w:val="22"/>
        </w:rPr>
        <w:t>□ 信号灯、交通事件、地图和路侧感知的权威源及负责人是否签字。</w:t>
      </w:r>
    </w:p>
    <w:p>
      <w:pPr>
        <w:pStyle w:val="ListBullet"/>
        <w:spacing w:before="0" w:after="60" w:line="300" w:lineRule="auto"/>
      </w:pPr>
      <w:r>
        <w:rPr>
          <w:rFonts w:ascii="Hiragino Sans GB" w:hAnsi="Hiragino Sans GB" w:eastAsia="Hiragino Sans GB"/>
          <w:color w:val="000000"/>
          <w:sz w:val="22"/>
        </w:rPr>
        <w:t>□ PC5、Uu和OEM TSP的主备关系以及故障责任是否明确。</w:t>
      </w:r>
    </w:p>
    <w:p>
      <w:pPr>
        <w:pStyle w:val="ListBullet"/>
        <w:spacing w:before="0" w:after="60" w:line="300" w:lineRule="auto"/>
      </w:pPr>
      <w:r>
        <w:rPr>
          <w:rFonts w:ascii="Hiragino Sans GB" w:hAnsi="Hiragino Sans GB" w:eastAsia="Hiragino Sans GB"/>
          <w:color w:val="000000"/>
          <w:sz w:val="22"/>
        </w:rPr>
        <w:t>□ 车辆能力画像、服务目录和统一事件ID是否作为所有场景共用基线。</w:t>
      </w:r>
    </w:p>
    <w:p>
      <w:pPr>
        <w:pStyle w:val="ListBullet"/>
        <w:spacing w:before="0" w:after="60" w:line="300" w:lineRule="auto"/>
      </w:pPr>
      <w:r>
        <w:rPr>
          <w:rFonts w:ascii="Hiragino Sans GB" w:hAnsi="Hiragino Sans GB" w:eastAsia="Hiragino Sans GB"/>
          <w:color w:val="000000"/>
          <w:sz w:val="22"/>
        </w:rPr>
        <w:t>□ 信号基础服务、车端灯态展示、GLOSA和闯红灯风险是否被清晰拆分。</w:t>
      </w:r>
    </w:p>
    <w:p>
      <w:pPr>
        <w:pStyle w:val="ListBullet"/>
        <w:spacing w:before="0" w:after="60" w:line="300" w:lineRule="auto"/>
      </w:pPr>
      <w:r>
        <w:rPr>
          <w:rFonts w:ascii="Hiragino Sans GB" w:hAnsi="Hiragino Sans GB" w:eastAsia="Hiragino Sans GB"/>
          <w:color w:val="000000"/>
          <w:sz w:val="22"/>
        </w:rPr>
        <w:t>□ 风险阈值、HMI等级、有效期和异常退出是否列入联合标定。</w:t>
      </w:r>
    </w:p>
    <w:p>
      <w:pPr>
        <w:pStyle w:val="ListBullet"/>
        <w:spacing w:before="0" w:after="60" w:line="300" w:lineRule="auto"/>
      </w:pPr>
      <w:r>
        <w:rPr>
          <w:rFonts w:ascii="Hiragino Sans GB" w:hAnsi="Hiragino Sans GB" w:eastAsia="Hiragino Sans GB"/>
          <w:color w:val="000000"/>
          <w:sz w:val="22"/>
        </w:rPr>
        <w:t>□ 网络ACK、车端校验、实际展示和智驾消费是否分状态验收。</w:t>
      </w:r>
    </w:p>
    <w:p>
      <w:pPr>
        <w:pStyle w:val="ListBullet"/>
        <w:spacing w:before="0" w:after="60" w:line="300" w:lineRule="auto"/>
      </w:pPr>
      <w:r>
        <w:rPr>
          <w:rFonts w:ascii="Hiragino Sans GB" w:hAnsi="Hiragino Sans GB" w:eastAsia="Hiragino Sans GB"/>
          <w:color w:val="000000"/>
          <w:sz w:val="22"/>
        </w:rPr>
        <w:t>□ 用户告知、同意退出、数据最小化、保存删除和重要数据处理是否闭环。</w:t>
      </w:r>
    </w:p>
    <w:p>
      <w:pPr>
        <w:pStyle w:val="ListBullet"/>
        <w:spacing w:before="0" w:after="60" w:line="300" w:lineRule="auto"/>
      </w:pPr>
      <w:r>
        <w:rPr>
          <w:rFonts w:ascii="Hiragino Sans GB" w:hAnsi="Hiragino Sans GB" w:eastAsia="Hiragino Sans GB"/>
          <w:color w:val="000000"/>
          <w:sz w:val="22"/>
        </w:rPr>
        <w:t>□ 仿真、SIL/HIL、封闭场地、开放道路和量产发布门禁是否具备证据负责人。</w:t>
      </w:r>
    </w:p>
    <w:p>
      <w:pPr>
        <w:pStyle w:val="Heading1"/>
        <w:keepNext/>
        <w:spacing w:before="280" w:after="140" w:line="276" w:lineRule="auto"/>
      </w:pPr>
      <w:r>
        <w:rPr>
          <w:rFonts w:ascii="Hiragino Sans GB" w:hAnsi="Hiragino Sans GB" w:eastAsia="Hiragino Sans GB"/>
          <w:b/>
          <w:color w:val="000000"/>
          <w:sz w:val="32"/>
        </w:rPr>
        <w:t>附录E 主要依据与来源</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编号</w:t>
            </w:r>
          </w:p>
        </w:tc>
        <w:tc>
          <w:tcPr>
            <w:tcW w:type="dxa" w:w="5616"/>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名称</w:t>
            </w:r>
          </w:p>
        </w:tc>
        <w:tc>
          <w:tcPr>
            <w:tcW w:type="dxa" w:w="2015"/>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发布或归口</w:t>
            </w:r>
          </w:p>
        </w:tc>
        <w:tc>
          <w:tcPr>
            <w:tcW w:type="dxa" w:w="1655"/>
            <w:shd w:fill="17365D"/>
            <w:tcMar>
              <w:top w:w="120" w:type="dxa"/>
              <w:start w:w="120" w:type="dxa"/>
              <w:bottom w:w="12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Pr>
                <w:rFonts w:ascii="Hiragino Sans GB" w:hAnsi="Hiragino Sans GB" w:eastAsia="Hiragino Sans GB"/>
                <w:b/>
                <w:color w:val="FFFFFF"/>
                <w:sz w:val="17"/>
              </w:rPr>
              <w:t>状态</w:t>
            </w:r>
          </w:p>
        </w:tc>
      </w:tr>
    </w:tbl>
    <w:p>
      <w:pPr>
        <w:spacing w:before="0" w:after="60" w:line="240" w:lineRule="auto"/>
      </w:pPr>
    </w:p>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0">
              <w:r>
                <w:rPr>
                  <w:color w:val="17365D"/>
                  <w:u w:val="single"/>
                  <w:rFonts w:ascii="Hiragino Sans GB" w:hAnsi="Hiragino Sans GB" w:eastAsia="Hiragino Sans GB"/>
                </w:rPr>
                <w:t>关于开展智能网联汽车车路云一体化应用试点工作的通知</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工信部等五部门</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2024年发布</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S2</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1">
              <w:r>
                <w:rPr>
                  <w:color w:val="17365D"/>
                  <w:u w:val="single"/>
                  <w:rFonts w:ascii="Hiragino Sans GB" w:hAnsi="Hiragino Sans GB" w:eastAsia="Hiragino Sans GB"/>
                </w:rPr>
                <w:t>智能网联汽车车路云一体化应用试点工作问答</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工业和信息化部</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2024年发布</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S3</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2">
              <w:r>
                <w:rPr>
                  <w:color w:val="17365D"/>
                  <w:u w:val="single"/>
                  <w:rFonts w:ascii="Hiragino Sans GB" w:hAnsi="Hiragino Sans GB" w:eastAsia="Hiragino Sans GB"/>
                </w:rPr>
                <w:t>智能网联汽车车路云一体化应用试点城市名单</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工信部等五部门</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济南入选</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S4</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3">
              <w:r>
                <w:rPr>
                  <w:color w:val="17365D"/>
                  <w:u w:val="single"/>
                  <w:rFonts w:ascii="Hiragino Sans GB" w:hAnsi="Hiragino Sans GB" w:eastAsia="Hiragino Sans GB"/>
                </w:rPr>
                <w:t>车路云一体化系统建设与应用指南</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国家智能网联汽车创新中心等</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2024年10月</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S5</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4">
              <w:r>
                <w:rPr>
                  <w:color w:val="17365D"/>
                  <w:u w:val="single"/>
                  <w:rFonts w:ascii="Hiragino Sans GB" w:hAnsi="Hiragino Sans GB" w:eastAsia="Hiragino Sans GB"/>
                </w:rPr>
                <w:t>GB/T 46998-2025 道路交通管理车路协同系统信息交互接口规范</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2026-07实施</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S6</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5">
              <w:r>
                <w:rPr>
                  <w:color w:val="17365D"/>
                  <w:u w:val="single"/>
                  <w:rFonts w:ascii="Hiragino Sans GB" w:hAnsi="Hiragino Sans GB" w:eastAsia="Hiragino Sans GB"/>
                </w:rPr>
                <w:t>GB/T 44286.1-2024 合作式智能运输系统应用集 第1部分</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S7</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6">
              <w:r>
                <w:rPr>
                  <w:color w:val="17365D"/>
                  <w:u w:val="single"/>
                  <w:rFonts w:ascii="Hiragino Sans GB" w:hAnsi="Hiragino Sans GB" w:eastAsia="Hiragino Sans GB"/>
                </w:rPr>
                <w:t>GB/T 44286.2-2024 合作式智能运输系统应用集 第2部分</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S8</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7">
              <w:r>
                <w:rPr>
                  <w:color w:val="17365D"/>
                  <w:u w:val="single"/>
                  <w:rFonts w:ascii="Hiragino Sans GB" w:hAnsi="Hiragino Sans GB" w:eastAsia="Hiragino Sans GB"/>
                </w:rPr>
                <w:t>GB/T 44417-2024 车路协同系统智能路侧协同控制设备技术要求和测试方法</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S9</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8">
              <w:r>
                <w:rPr>
                  <w:color w:val="17365D"/>
                  <w:u w:val="single"/>
                  <w:rFonts w:ascii="Hiragino Sans GB" w:hAnsi="Hiragino Sans GB" w:eastAsia="Hiragino Sans GB"/>
                </w:rPr>
                <w:t>GB/T 45315-2025 基于LTE-V2X直连通信的车载信息交互系统技术要求及试验方法</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S10</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19">
              <w:r>
                <w:rPr>
                  <w:color w:val="17365D"/>
                  <w:u w:val="single"/>
                  <w:rFonts w:ascii="Hiragino Sans GB" w:hAnsi="Hiragino Sans GB" w:eastAsia="Hiragino Sans GB"/>
                </w:rPr>
                <w:t>YD/T 3755-2024 支持直连通信的路侧设备技术要求</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通信行业标准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S11</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0">
              <w:r>
                <w:rPr>
                  <w:color w:val="17365D"/>
                  <w:u w:val="single"/>
                  <w:rFonts w:ascii="Hiragino Sans GB" w:hAnsi="Hiragino Sans GB" w:eastAsia="Hiragino Sans GB"/>
                </w:rPr>
                <w:t>YD/T 3756-2024 支持直连通信的车载终端设备技术要求</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通信行业标准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S12</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1">
              <w:r>
                <w:rPr>
                  <w:color w:val="17365D"/>
                  <w:u w:val="single"/>
                  <w:rFonts w:ascii="Hiragino Sans GB" w:hAnsi="Hiragino Sans GB" w:eastAsia="Hiragino Sans GB"/>
                </w:rPr>
                <w:t>GA/T 1743-2020 道路交通信号控制机信息发布接口规范</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公共安全行业标准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S13</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2">
              <w:r>
                <w:rPr>
                  <w:color w:val="17365D"/>
                  <w:u w:val="single"/>
                  <w:rFonts w:ascii="Hiragino Sans GB" w:hAnsi="Hiragino Sans GB" w:eastAsia="Hiragino Sans GB"/>
                </w:rPr>
                <w:t>GB/T 45112-2024 LTE-V2X安全证书管理系统技术要求</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S14</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3">
              <w:r>
                <w:rPr>
                  <w:color w:val="17365D"/>
                  <w:u w:val="single"/>
                  <w:rFonts w:ascii="Hiragino Sans GB" w:hAnsi="Hiragino Sans GB" w:eastAsia="Hiragino Sans GB"/>
                </w:rPr>
                <w:t>三项智能网联汽车强制性国家标准正式发布</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工业和信息化部</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2026-01实施</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S15</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4">
              <w:r>
                <w:rPr>
                  <w:color w:val="17365D"/>
                  <w:u w:val="single"/>
                  <w:rFonts w:ascii="Hiragino Sans GB" w:hAnsi="Hiragino Sans GB" w:eastAsia="Hiragino Sans GB"/>
                </w:rPr>
                <w:t>汽车数据安全管理若干规定 试行</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国家网信办等五部门</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S16</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5">
              <w:r>
                <w:rPr>
                  <w:color w:val="17365D"/>
                  <w:u w:val="single"/>
                  <w:rFonts w:ascii="Hiragino Sans GB" w:hAnsi="Hiragino Sans GB" w:eastAsia="Hiragino Sans GB"/>
                </w:rPr>
                <w:t>GB/T 44464-2024 汽车数据通用要求</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现行</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S17</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6">
              <w:r>
                <w:rPr>
                  <w:color w:val="17365D"/>
                  <w:u w:val="single"/>
                  <w:rFonts w:ascii="Hiragino Sans GB" w:hAnsi="Hiragino Sans GB" w:eastAsia="Hiragino Sans GB"/>
                </w:rPr>
                <w:t>GB/T 47325-2026 车联网在线升级安全技术要求与测试方法</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2026-10实施</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S18</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7">
              <w:r>
                <w:rPr>
                  <w:color w:val="17365D"/>
                  <w:u w:val="single"/>
                  <w:rFonts w:ascii="Hiragino Sans GB" w:hAnsi="Hiragino Sans GB" w:eastAsia="Hiragino Sans GB"/>
                </w:rPr>
                <w:t>GB 47955-2026 组合驾驶辅助系统安全要求</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强制性国家标准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2027-01实施</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S19</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8">
              <w:r>
                <w:rPr>
                  <w:color w:val="17365D"/>
                  <w:u w:val="single"/>
                  <w:rFonts w:ascii="Hiragino Sans GB" w:hAnsi="Hiragino Sans GB" w:eastAsia="Hiragino Sans GB"/>
                </w:rPr>
                <w:t>GB 44721-2026 自动驾驶系统安全要求</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强制性国家标准</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2027-07实施</w:t>
            </w:r>
          </w:p>
        </w:tc>
      </w:tr>
    </w:tbl>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color w:val="000000"/>
                <w:sz w:val="17"/>
              </w:rPr>
              <w:t>S20</w:t>
            </w:r>
          </w:p>
        </w:tc>
        <w:tc>
          <w:tcPr>
            <w:tcW w:type="dxa" w:w="5616"/>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pPr>
            <w:r/>
            <w:hyperlink r:id="rId29">
              <w:r>
                <w:rPr>
                  <w:color w:val="17365D"/>
                  <w:u w:val="single"/>
                  <w:rFonts w:ascii="Hiragino Sans GB" w:hAnsi="Hiragino Sans GB" w:eastAsia="Hiragino Sans GB"/>
                </w:rPr>
                <w:t>关于加强智能网联汽车有关测绘地理信息安全管理的通知</w:t>
              </w:r>
            </w:hyperlink>
          </w:p>
        </w:tc>
        <w:tc>
          <w:tcPr>
            <w:tcW w:type="dxa" w:w="201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自然资源部</w:t>
            </w:r>
          </w:p>
        </w:tc>
        <w:tc>
          <w:tcPr>
            <w:tcW w:type="dxa" w:w="1655"/>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before="0" w:after="0" w:line="276" w:lineRule="auto"/>
              <w:jc w:val="center"/>
            </w:pPr>
            <w:r/>
            <w:r>
              <w:rPr>
                <w:rFonts w:ascii="Hiragino Sans GB" w:hAnsi="Hiragino Sans GB" w:eastAsia="Hiragino Sans GB"/>
                <w:b w:val="0"/>
                <w:color w:val="000000"/>
                <w:sz w:val="17"/>
              </w:rPr>
              <w:t>自然资发2024 139号</w:t>
            </w:r>
          </w:p>
        </w:tc>
      </w:tr>
    </w:tbl>
    <w:p>
      <w:pPr>
        <w:spacing w:before="160" w:after="120" w:line="317" w:lineRule="auto"/>
      </w:pPr>
      <w:r>
        <w:rPr>
          <w:rFonts w:ascii="Hiragino Sans GB" w:hAnsi="Hiragino Sans GB" w:eastAsia="Hiragino Sans GB"/>
          <w:b/>
          <w:color w:val="000000"/>
          <w:sz w:val="22"/>
        </w:rPr>
        <w:t xml:space="preserve">检索时点  </w:t>
      </w:r>
      <w:r>
        <w:rPr>
          <w:rFonts w:ascii="Hiragino Sans GB" w:hAnsi="Hiragino Sans GB" w:eastAsia="Hiragino Sans GB"/>
          <w:color w:val="000000"/>
          <w:sz w:val="22"/>
        </w:rPr>
        <w:t>2026年9月14日。标准实施状态和政策有效性应在招标、合同签署、车型定版及量产发布前再次核验。</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Hiragino Sans GB" w:hAnsi="Hiragino Sans GB" w:eastAsia="Hiragino Sans GB"/>
        <w:color w:val="595959"/>
        <w:sz w:val="17"/>
      </w:rPr>
      <w:t>济南车路云数据上车总体方案 V1.0</w:t>
    </w:r>
  </w:p>
  <w:p>
    <w:pPr>
      <w:jc w:val="right"/>
    </w:pPr>
    <w:r>
      <w:rPr>
        <w:rFonts w:ascii="Hiragino Sans GB" w:hAnsi="Hiragino Sans GB" w:eastAsia="Hiragino Sans GB"/>
        <w:color w:val="595959"/>
        <w:sz w:val="17"/>
      </w:rPr>
      <w:t xml:space="preserve">第 </w:t>
    </w:r>
    <w:fldSimple w:instr="PAGE"/>
    <w:r>
      <w:rPr>
        <w:rFonts w:ascii="Hiragino Sans GB" w:hAnsi="Hiragino Sans GB" w:eastAsia="Hiragino Sans GB"/>
        <w:color w:val="595959"/>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GB" w:hAnsi="Hiragino Sans GB" w:eastAsia="Hiragino Sans GB"/>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GB" w:hAnsi="Hiragino Sans GB" w:eastAsia="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GB" w:hAnsi="Hiragino Sans GB" w:eastAsia="Hiragino Sans G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Flow">
    <w:name w:val="Architecture Flow"/>
    <w:pPr>
      <w:spacing w:line="276" w:lineRule="auto" w:after="40"/>
    </w:pPr>
    <w:rPr>
      <w:rFonts w:ascii="Hiragino Sans GB" w:hAnsi="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iit.gov.cn/zwgk/zcwj/wjfb/tz/art/2024/art_b236a25edf9f4a8f9b60dbcda924753b.html" TargetMode="External"/><Relationship Id="rId11" Type="http://schemas.openxmlformats.org/officeDocument/2006/relationships/hyperlink" Target="https://www.miit.gov.cn/zwgk/zcjd/art/2024/art_71c4a67da373403cbd0cf853a6ad10b2.html" TargetMode="External"/><Relationship Id="rId12" Type="http://schemas.openxmlformats.org/officeDocument/2006/relationships/hyperlink" Target="https://www.gov.cn/zhengce/zhengceku/202407/P020240801513847464337.pdf" TargetMode="External"/><Relationship Id="rId13" Type="http://schemas.openxmlformats.org/officeDocument/2006/relationships/hyperlink" Target="https://mgr-api.china-icv.cn/profile/upload/2025/02/27/9b7e5d8e-a815-4b72-bcd6-0ed6e7cf68e9.pdf" TargetMode="External"/><Relationship Id="rId14" Type="http://schemas.openxmlformats.org/officeDocument/2006/relationships/hyperlink" Target="https://std.samr.gov.cn/gb/search/gbDetailed?id=q0jOgoG%2BJcs%3D&amp;mode=p" TargetMode="External"/><Relationship Id="rId15" Type="http://schemas.openxmlformats.org/officeDocument/2006/relationships/hyperlink" Target="https://std.samr.gov.cn/gb/search/gbDetailed?id=nFojQwfWTWA%3D&amp;mode=p" TargetMode="External"/><Relationship Id="rId16" Type="http://schemas.openxmlformats.org/officeDocument/2006/relationships/hyperlink" Target="https://std.samr.gov.cn/gb/search/gbDetailed?id=Xz64qAaIAro%3D&amp;mode=p" TargetMode="External"/><Relationship Id="rId17" Type="http://schemas.openxmlformats.org/officeDocument/2006/relationships/hyperlink" Target="https://std.samr.gov.cn/gb/search/gbDetailed?id=VG8%2BAXhNad8%3D&amp;mode=p" TargetMode="External"/><Relationship Id="rId18" Type="http://schemas.openxmlformats.org/officeDocument/2006/relationships/hyperlink" Target="https://std.samr.gov.cn//gb/search/gbDetailed?id=2FF37940EB79D753E06397BE0A0A413F" TargetMode="External"/><Relationship Id="rId19" Type="http://schemas.openxmlformats.org/officeDocument/2006/relationships/hyperlink" Target="https://std.samr.gov.cn/hb/search/stdHBDetailed?id=17C0C9DC10B4F07FE06397BE0A0AB070" TargetMode="External"/><Relationship Id="rId20" Type="http://schemas.openxmlformats.org/officeDocument/2006/relationships/hyperlink" Target="https://std.samr.gov.cn/hb/search/stdHBDetailed?id=17C0C9DC10B5F07FE06397BE0A0AB070" TargetMode="External"/><Relationship Id="rId21" Type="http://schemas.openxmlformats.org/officeDocument/2006/relationships/hyperlink" Target="https://std.samr.gov.cn/hb/search/stdHBDetailed?id=B62CEA48F6BF3753E05397BE0A0A1046" TargetMode="External"/><Relationship Id="rId22" Type="http://schemas.openxmlformats.org/officeDocument/2006/relationships/hyperlink" Target="https://std.samr.gov.cn/gb/search/gbDetailed?id=2AD0270638E8091BE06397BE0A0A2D62" TargetMode="External"/><Relationship Id="rId23" Type="http://schemas.openxmlformats.org/officeDocument/2006/relationships/hyperlink" Target="https://www.miit.gov.cn/xwdt/gxdt/sjdt/art/2024/art_9fa0f052fe7d4a4683e366eb1afff952.html" TargetMode="External"/><Relationship Id="rId24" Type="http://schemas.openxmlformats.org/officeDocument/2006/relationships/hyperlink" Target="https://www.cac.gov.cn/2021-08/20/c_1631049984897667.htm" TargetMode="External"/><Relationship Id="rId25" Type="http://schemas.openxmlformats.org/officeDocument/2006/relationships/hyperlink" Target="https://std.samr.gov.cn/gb/search/gbDetailed?id=208E903AB5FB79F3E06397BE0A0AB2B9" TargetMode="External"/><Relationship Id="rId26" Type="http://schemas.openxmlformats.org/officeDocument/2006/relationships/hyperlink" Target="https://std.samr.gov.cn/gb/search/gbDetailed?id=4E64ADE730CA8554E06397BE0A0AB633" TargetMode="External"/><Relationship Id="rId27" Type="http://schemas.openxmlformats.org/officeDocument/2006/relationships/hyperlink" Target="https://www.miit.gov.cn/jgsj/zbys/qcgy/art/2026/art_7bcb480b0db5432f8542157a9fc12841.html" TargetMode="External"/><Relationship Id="rId28" Type="http://schemas.openxmlformats.org/officeDocument/2006/relationships/hyperlink" Target="https://www.miit.gov.cn/xwfb/gxdt/sjdt/art/2026/art_16d1319a933d4ffd8501e60dc4d88491.html" TargetMode="External"/><Relationship Id="rId29" Type="http://schemas.openxmlformats.org/officeDocument/2006/relationships/hyperlink" Target="https://one.sipac.gov.cn/frzrk/ndaservplat/Apps/psp/index.php?s=%2FHome%2FPolicySearch%2Fpolicydetail%2Fid%2F29c004c7c9bbe7aae31a7c16afde157c%2Fquery_value1%2F%E6%94%BF%E7%AD%96%E5%9B%BE%E8%A7%A3%2Forderway%2Fi%2Fi%2F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济南车路云数据上车总体方案 V1.0</dc:title>
  <dc:subject>智能网联车辆及量产车数据上车总体规划与设计</dc:subject>
  <dc:creator/>
  <cp:keywords>济南, 车路云一体化, C-V2X, 数据上车, OEM, TSP, PC5, Uu</cp:keywords>
  <dc:description>generated by python-docx</dc:description>
  <cp:lastModifiedBy/>
  <cp:revision>1</cp:revision>
  <dcterms:created xsi:type="dcterms:W3CDTF">2013-12-23T23:15:00Z</dcterms:created>
  <dcterms:modified xsi:type="dcterms:W3CDTF">2013-12-23T23:15:00Z</dcterms:modified>
  <cp:category/>
</cp:coreProperties>
</file>