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864"/>
          <w:sz w:val="32"/>
          <w:szCs w:val="32"/>
        </w:rPr>
        <w:t xml:space="preserve">Scheme (Pipes) — Development Assumptions and Open Queries</w:t>
      </w:r>
    </w:p>
    <w:p>
      <w:pPr>
        <w:pBdr>
          <w:bottom w:val="single" w:color="1F3864" w:sz="8" w:space="6"/>
        </w:pBdr>
        <w:spacing w:after="200"/>
      </w:pPr>
      <w:r>
        <w:rPr>
          <w:rFonts w:ascii="Calibri" w:cs="Calibri" w:eastAsia="Calibri" w:hAnsi="Calibri"/>
          <w:i/>
          <w:iCs/>
          <w:color w:val="595959"/>
          <w:sz w:val="19"/>
          <w:szCs w:val="19"/>
        </w:rPr>
        <w:t xml:space="preserve">For confirmation by the functional team prior to development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D9D9D9" w:color="auto" w:val="clear"/>
          </w:tcPr>
          <w:p>
            <w:pPr>
              <w:spacing w:after="40" w:before="40"/>
            </w:pPr>
            <w:r>
              <w:rPr>
                <w:rFonts w:ascii="Calibri" w:cs="Calibri" w:eastAsia="Calibri" w:hAnsi="Calibri"/>
                <w:b/>
                <w:bCs/>
                <w:sz w:val="19"/>
                <w:szCs w:val="19"/>
              </w:rPr>
              <w:t xml:space="preserve">Item</w:t>
            </w:r>
          </w:p>
        </w:tc>
        <w:tc>
          <w:tcPr>
            <w:tcW w:type="dxa" w:w="6626"/>
            <w:shd w:fill="D9D9D9" w:color="auto" w:val="clear"/>
          </w:tcPr>
          <w:p>
            <w:pPr>
              <w:spacing w:after="40" w:before="40"/>
            </w:pPr>
            <w:r>
              <w:rPr>
                <w:rFonts w:ascii="Calibri" w:cs="Calibri" w:eastAsia="Calibri" w:hAnsi="Calibri"/>
                <w:b/>
                <w:bCs/>
                <w:sz w:val="19"/>
                <w:szCs w:val="19"/>
              </w:rPr>
              <w:t xml:space="preserve">Detail</w:t>
            </w:r>
          </w:p>
        </w:tc>
      </w:tr>
      <w:tr>
        <w:tc>
          <w:tcPr>
            <w:tcW w:type="dxa" w:w="2400"/>
          </w:tcPr>
          <w:p>
            <w:pPr>
              <w:spacing w:after="40" w:before="40"/>
            </w:pPr>
            <w:r>
              <w:rPr>
                <w:rFonts w:ascii="Calibri" w:cs="Calibri" w:eastAsia="Calibri" w:hAnsi="Calibri"/>
                <w:b w:val="false"/>
                <w:bCs w:val="false"/>
                <w:sz w:val="19"/>
                <w:szCs w:val="19"/>
              </w:rPr>
              <w:t xml:space="preserve">Client</w:t>
            </w:r>
          </w:p>
        </w:tc>
        <w:tc>
          <w:tcPr>
            <w:tcW w:type="dxa" w:w="6626"/>
          </w:tcPr>
          <w:p>
            <w:pPr>
              <w:spacing w:after="40" w:before="40"/>
            </w:pPr>
            <w:r>
              <w:rPr>
                <w:rFonts w:ascii="Calibri" w:cs="Calibri" w:eastAsia="Calibri" w:hAnsi="Calibri"/>
                <w:b w:val="false"/>
                <w:bCs w:val="false"/>
                <w:sz w:val="19"/>
                <w:szCs w:val="19"/>
              </w:rPr>
              <w:t xml:space="preserve">Astral Limited</w:t>
            </w:r>
          </w:p>
        </w:tc>
      </w:tr>
      <w:tr>
        <w:tc>
          <w:tcPr>
            <w:tcW w:type="dxa" w:w="2400"/>
          </w:tcPr>
          <w:p>
            <w:pPr>
              <w:spacing w:after="40" w:before="40"/>
            </w:pPr>
            <w:r>
              <w:rPr>
                <w:rFonts w:ascii="Calibri" w:cs="Calibri" w:eastAsia="Calibri" w:hAnsi="Calibri"/>
                <w:b w:val="false"/>
                <w:bCs w:val="false"/>
                <w:sz w:val="19"/>
                <w:szCs w:val="19"/>
              </w:rPr>
              <w:t xml:space="preserve">Project</w:t>
            </w:r>
          </w:p>
        </w:tc>
        <w:tc>
          <w:tcPr>
            <w:tcW w:type="dxa" w:w="6626"/>
          </w:tcPr>
          <w:p>
            <w:pPr>
              <w:spacing w:after="40" w:before="40"/>
            </w:pPr>
            <w:r>
              <w:rPr>
                <w:rFonts w:ascii="Calibri" w:cs="Calibri" w:eastAsia="Calibri" w:hAnsi="Calibri"/>
                <w:b w:val="false"/>
                <w:bCs w:val="false"/>
                <w:sz w:val="19"/>
                <w:szCs w:val="19"/>
              </w:rPr>
              <w:t xml:space="preserve">UDAY</w:t>
            </w:r>
          </w:p>
        </w:tc>
      </w:tr>
      <w:tr>
        <w:tc>
          <w:tcPr>
            <w:tcW w:type="dxa" w:w="2400"/>
          </w:tcPr>
          <w:p>
            <w:pPr>
              <w:spacing w:after="40" w:before="40"/>
            </w:pPr>
            <w:r>
              <w:rPr>
                <w:rFonts w:ascii="Calibri" w:cs="Calibri" w:eastAsia="Calibri" w:hAnsi="Calibri"/>
                <w:b w:val="false"/>
                <w:bCs w:val="false"/>
                <w:sz w:val="19"/>
                <w:szCs w:val="19"/>
              </w:rPr>
              <w:t xml:space="preserve">Module</w:t>
            </w:r>
          </w:p>
        </w:tc>
        <w:tc>
          <w:tcPr>
            <w:tcW w:type="dxa" w:w="6626"/>
          </w:tcPr>
          <w:p>
            <w:pPr>
              <w:spacing w:after="40" w:before="40"/>
            </w:pPr>
            <w:r>
              <w:rPr>
                <w:rFonts w:ascii="Calibri" w:cs="Calibri" w:eastAsia="Calibri" w:hAnsi="Calibri"/>
                <w:b w:val="false"/>
                <w:bCs w:val="false"/>
                <w:sz w:val="19"/>
                <w:szCs w:val="19"/>
              </w:rPr>
              <w:t xml:space="preserve">SD</w:t>
            </w:r>
          </w:p>
        </w:tc>
      </w:tr>
      <w:tr>
        <w:tc>
          <w:tcPr>
            <w:tcW w:type="dxa" w:w="2400"/>
          </w:tcPr>
          <w:p>
            <w:pPr>
              <w:spacing w:after="40" w:before="40"/>
            </w:pPr>
            <w:r>
              <w:rPr>
                <w:rFonts w:ascii="Calibri" w:cs="Calibri" w:eastAsia="Calibri" w:hAnsi="Calibri"/>
                <w:b w:val="false"/>
                <w:bCs w:val="false"/>
                <w:sz w:val="19"/>
                <w:szCs w:val="19"/>
              </w:rPr>
              <w:t xml:space="preserve">WRICEF / Object</w:t>
            </w:r>
          </w:p>
        </w:tc>
        <w:tc>
          <w:tcPr>
            <w:tcW w:type="dxa" w:w="6626"/>
          </w:tcPr>
          <w:p>
            <w:pPr>
              <w:spacing w:after="40" w:before="40"/>
            </w:pPr>
            <w:r>
              <w:rPr>
                <w:rFonts w:ascii="Calibri" w:cs="Calibri" w:eastAsia="Calibri" w:hAnsi="Calibri"/>
                <w:b w:val="false"/>
                <w:bCs w:val="false"/>
                <w:sz w:val="19"/>
                <w:szCs w:val="19"/>
              </w:rPr>
              <w:t xml:space="preserve">SCHEME  —  Scheme (Pipes)</w:t>
            </w:r>
          </w:p>
        </w:tc>
      </w:tr>
      <w:tr>
        <w:tc>
          <w:tcPr>
            <w:tcW w:type="dxa" w:w="2400"/>
          </w:tcPr>
          <w:p>
            <w:pPr>
              <w:spacing w:after="40" w:before="40"/>
            </w:pPr>
            <w:r>
              <w:rPr>
                <w:rFonts w:ascii="Calibri" w:cs="Calibri" w:eastAsia="Calibri" w:hAnsi="Calibri"/>
                <w:b w:val="false"/>
                <w:bCs w:val="false"/>
                <w:sz w:val="19"/>
                <w:szCs w:val="19"/>
              </w:rPr>
              <w:t xml:space="preserve">Reference FS</w:t>
            </w:r>
          </w:p>
        </w:tc>
        <w:tc>
          <w:tcPr>
            <w:tcW w:type="dxa" w:w="6626"/>
          </w:tcPr>
          <w:p>
            <w:pPr>
              <w:spacing w:after="40" w:before="40"/>
            </w:pPr>
            <w:r>
              <w:rPr>
                <w:rFonts w:ascii="Calibri" w:cs="Calibri" w:eastAsia="Calibri" w:hAnsi="Calibri"/>
                <w:b w:val="false"/>
                <w:bCs w:val="false"/>
                <w:sz w:val="19"/>
                <w:szCs w:val="19"/>
              </w:rPr>
              <w:t xml:space="preserve">Scheme - Pipes, V.01 dated 10.08.2026, prepared by Sanjay Modhvadiya</w:t>
            </w:r>
          </w:p>
        </w:tc>
      </w:tr>
      <w:tr>
        <w:tc>
          <w:tcPr>
            <w:tcW w:type="dxa" w:w="2400"/>
          </w:tcPr>
          <w:p>
            <w:pPr>
              <w:spacing w:after="40" w:before="40"/>
            </w:pPr>
            <w:r>
              <w:rPr>
                <w:rFonts w:ascii="Calibri" w:cs="Calibri" w:eastAsia="Calibri" w:hAnsi="Calibri"/>
                <w:b w:val="false"/>
                <w:bCs w:val="false"/>
                <w:sz w:val="19"/>
                <w:szCs w:val="19"/>
              </w:rPr>
              <w:t xml:space="preserve">Purpose</w:t>
            </w:r>
          </w:p>
        </w:tc>
        <w:tc>
          <w:tcPr>
            <w:tcW w:type="dxa" w:w="6626"/>
          </w:tcPr>
          <w:p>
            <w:pPr>
              <w:spacing w:after="40" w:before="40"/>
            </w:pPr>
            <w:r>
              <w:rPr>
                <w:rFonts w:ascii="Calibri" w:cs="Calibri" w:eastAsia="Calibri" w:hAnsi="Calibri"/>
                <w:b w:val="false"/>
                <w:bCs w:val="false"/>
                <w:sz w:val="19"/>
                <w:szCs w:val="19"/>
              </w:rPr>
              <w:t xml:space="preserve">Development assumptions for confirmation, and open queries for resolution</w:t>
            </w:r>
          </w:p>
        </w:tc>
      </w:tr>
      <w:tr>
        <w:tc>
          <w:tcPr>
            <w:tcW w:type="dxa" w:w="2400"/>
          </w:tcPr>
          <w:p>
            <w:pPr>
              <w:spacing w:after="40" w:before="40"/>
            </w:pPr>
            <w:r>
              <w:rPr>
                <w:rFonts w:ascii="Calibri" w:cs="Calibri" w:eastAsia="Calibri" w:hAnsi="Calibri"/>
                <w:b w:val="false"/>
                <w:bCs w:val="false"/>
                <w:sz w:val="19"/>
                <w:szCs w:val="19"/>
              </w:rPr>
              <w:t xml:space="preserve">Status of FS</w:t>
            </w:r>
          </w:p>
        </w:tc>
        <w:tc>
          <w:tcPr>
            <w:tcW w:type="dxa" w:w="6626"/>
          </w:tcPr>
          <w:p>
            <w:pPr>
              <w:spacing w:after="40" w:before="40"/>
            </w:pPr>
            <w:r>
              <w:rPr>
                <w:rFonts w:ascii="Calibri" w:cs="Calibri" w:eastAsia="Calibri" w:hAnsi="Calibri"/>
                <w:b w:val="false"/>
                <w:bCs w:val="false"/>
                <w:sz w:val="19"/>
                <w:szCs w:val="19"/>
              </w:rPr>
              <w:t xml:space="preserve">Draft — sections 1.2, 2.2, 2.3 and 3 are blank; document not yet approved</w:t>
            </w:r>
          </w:p>
        </w:tc>
      </w:tr>
    </w:tbl>
    <w:p>
      <w:pPr>
        <w:pStyle w:val="Heading1"/>
        <w:spacing w:after="140" w:before="300"/>
      </w:pPr>
      <w:r>
        <w:rPr>
          <w:rFonts w:ascii="Calibri" w:cs="Calibri" w:eastAsia="Calibri" w:hAnsi="Calibri"/>
          <w:b/>
          <w:bCs/>
          <w:color w:val="1F3864"/>
          <w:sz w:val="26"/>
          <w:szCs w:val="26"/>
        </w:rPr>
        <w:t xml:space="preserve">1.  Assumptions</w:t>
      </w:r>
    </w:p>
    <w:p>
      <w:pPr>
        <w:spacing w:after="60" w:before="60"/>
      </w:pPr>
      <w:r>
        <w:rPr>
          <w:rFonts w:ascii="Calibri" w:cs="Calibri" w:eastAsia="Calibri" w:hAnsi="Calibri"/>
          <w:b w:val="false"/>
          <w:bCs w:val="false"/>
          <w:i/>
          <w:iCs/>
          <w:sz w:val="19"/>
          <w:szCs w:val="19"/>
        </w:rPr>
        <w:t xml:space="preserve">The points below are the assumptions on which development will proceed. Any assumption not corrected in the "Confirmed / Correction" column will be treated as agreed and will be built as stated.</w:t>
      </w:r>
    </w:p>
    <w:p>
      <w:pPr>
        <w:pStyle w:val="Heading2"/>
        <w:spacing w:after="100" w:before="220"/>
      </w:pPr>
      <w:r>
        <w:rPr>
          <w:rFonts w:ascii="Calibri" w:cs="Calibri" w:eastAsia="Calibri" w:hAnsi="Calibri"/>
          <w:b/>
          <w:bCs/>
          <w:color w:val="2E5496"/>
          <w:sz w:val="22"/>
          <w:szCs w:val="22"/>
        </w:rPr>
        <w:t xml:space="preserve">1. Scheme Master —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A01</w:t>
            </w:r>
          </w:p>
        </w:tc>
        <w:tc>
          <w:tcPr>
            <w:tcW w:type="dxa" w:w="6126"/>
          </w:tcPr>
          <w:p>
            <w:pPr>
              <w:spacing w:after="40" w:before="40"/>
            </w:pPr>
            <w:r>
              <w:rPr>
                <w:rFonts w:ascii="Calibri" w:cs="Calibri" w:eastAsia="Calibri" w:hAnsi="Calibri"/>
                <w:b w:val="false"/>
                <w:bCs w:val="false"/>
                <w:sz w:val="19"/>
                <w:szCs w:val="19"/>
              </w:rPr>
              <w:t xml:space="preserve">The Scheme Number will be generated internally through a dedicated number range object (10 characters) and will not be editable by the user.</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A02</w:t>
            </w:r>
          </w:p>
        </w:tc>
        <w:tc>
          <w:tcPr>
            <w:tcW w:type="dxa" w:w="6126"/>
          </w:tcPr>
          <w:p>
            <w:pPr>
              <w:spacing w:after="40" w:before="40"/>
            </w:pPr>
            <w:r>
              <w:rPr>
                <w:rFonts w:ascii="Calibri" w:cs="Calibri" w:eastAsia="Calibri" w:hAnsi="Calibri"/>
                <w:b w:val="false"/>
                <w:bCs w:val="false"/>
                <w:sz w:val="19"/>
                <w:szCs w:val="19"/>
              </w:rPr>
              <w:t xml:space="preserve">Scheme Type (Daily / Monthly / Quarterly / Half-Yearly / Yearly) defines the settlement periodicity. The Validity From–To range is divided into periods of this frequency and the target is evaluated separately in each period.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A03</w:t>
            </w:r>
          </w:p>
        </w:tc>
        <w:tc>
          <w:tcPr>
            <w:tcW w:type="dxa" w:w="6126"/>
          </w:tcPr>
          <w:p>
            <w:pPr>
              <w:spacing w:after="40" w:before="40"/>
            </w:pPr>
            <w:r>
              <w:rPr>
                <w:rFonts w:ascii="Calibri" w:cs="Calibri" w:eastAsia="Calibri" w:hAnsi="Calibri"/>
                <w:b w:val="false"/>
                <w:bCs w:val="false"/>
                <w:sz w:val="19"/>
                <w:szCs w:val="19"/>
              </w:rPr>
              <w:t xml:space="preserve">The target is evaluated per customer, not for the scheme as a whole.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A04</w:t>
            </w:r>
          </w:p>
        </w:tc>
        <w:tc>
          <w:tcPr>
            <w:tcW w:type="dxa" w:w="6126"/>
          </w:tcPr>
          <w:p>
            <w:pPr>
              <w:spacing w:after="40" w:before="40"/>
            </w:pPr>
            <w:r>
              <w:rPr>
                <w:rFonts w:ascii="Calibri" w:cs="Calibri" w:eastAsia="Calibri" w:hAnsi="Calibri"/>
                <w:b w:val="false"/>
                <w:bCs w:val="false"/>
                <w:sz w:val="19"/>
                <w:szCs w:val="19"/>
              </w:rPr>
              <w:t xml:space="preserve">Sales Organisation, Distribution Channel and Division entered on the initial screen form part of the scheme key and cannot be changed once the scheme is created.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A05</w:t>
            </w:r>
          </w:p>
        </w:tc>
        <w:tc>
          <w:tcPr>
            <w:tcW w:type="dxa" w:w="6126"/>
          </w:tcPr>
          <w:p>
            <w:pPr>
              <w:spacing w:after="40" w:before="40"/>
            </w:pPr>
            <w:r>
              <w:rPr>
                <w:rFonts w:ascii="Calibri" w:cs="Calibri" w:eastAsia="Calibri" w:hAnsi="Calibri"/>
                <w:b w:val="false"/>
                <w:bCs w:val="false"/>
                <w:sz w:val="19"/>
                <w:szCs w:val="19"/>
              </w:rPr>
              <w:t xml:space="preserve">Material Group, State, Customer, Customer Group 1 and Customer Group 2 are stored as include / exclude ranges. "Select All" is stored as a single inclusive range (*) and not as an expanded list of values.</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A06</w:t>
            </w:r>
          </w:p>
        </w:tc>
        <w:tc>
          <w:tcPr>
            <w:tcW w:type="dxa" w:w="6126"/>
          </w:tcPr>
          <w:p>
            <w:pPr>
              <w:spacing w:after="40" w:before="40"/>
            </w:pPr>
            <w:r>
              <w:rPr>
                <w:rFonts w:ascii="Calibri" w:cs="Calibri" w:eastAsia="Calibri" w:hAnsi="Calibri"/>
                <w:b w:val="false"/>
                <w:bCs w:val="false"/>
                <w:sz w:val="19"/>
                <w:szCs w:val="19"/>
              </w:rPr>
              <w:t xml:space="preserve">Zone and Sub-Zone will be provisioned in the database now but kept hidden on the screen until the source fields are confirmed, so that no database change is required later.</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A07</w:t>
            </w:r>
          </w:p>
        </w:tc>
        <w:tc>
          <w:tcPr>
            <w:tcW w:type="dxa" w:w="6126"/>
          </w:tcPr>
          <w:p>
            <w:pPr>
              <w:spacing w:after="40" w:before="40"/>
            </w:pPr>
            <w:r>
              <w:rPr>
                <w:rFonts w:ascii="Calibri" w:cs="Calibri" w:eastAsia="Calibri" w:hAnsi="Calibri"/>
                <w:b w:val="false"/>
                <w:bCs w:val="false"/>
                <w:sz w:val="19"/>
                <w:szCs w:val="19"/>
              </w:rPr>
              <w:t xml:space="preserve">Where Parent / Child Customer = Yes, volumes of all child customers are aggregated under the parent and the Credit Note is issued to the parent. Where No, each customer is evaluated and paid individually.</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A08</w:t>
            </w:r>
          </w:p>
        </w:tc>
        <w:tc>
          <w:tcPr>
            <w:tcW w:type="dxa" w:w="6126"/>
          </w:tcPr>
          <w:p>
            <w:pPr>
              <w:spacing w:after="40" w:before="40"/>
            </w:pPr>
            <w:r>
              <w:rPr>
                <w:rFonts w:ascii="Calibri" w:cs="Calibri" w:eastAsia="Calibri" w:hAnsi="Calibri"/>
                <w:b w:val="false"/>
                <w:bCs w:val="false"/>
                <w:sz w:val="19"/>
                <w:szCs w:val="19"/>
              </w:rPr>
              <w:t xml:space="preserve">A scheme may be created with a validity period in the past (retrospective schemes are permitted).</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2. Target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A09</w:t>
            </w:r>
          </w:p>
        </w:tc>
        <w:tc>
          <w:tcPr>
            <w:tcW w:type="dxa" w:w="6126"/>
          </w:tcPr>
          <w:p>
            <w:pPr>
              <w:spacing w:after="40" w:before="40"/>
            </w:pPr>
            <w:r>
              <w:rPr>
                <w:rFonts w:ascii="Calibri" w:cs="Calibri" w:eastAsia="Calibri" w:hAnsi="Calibri"/>
                <w:b w:val="false"/>
                <w:bCs w:val="false"/>
                <w:sz w:val="19"/>
                <w:szCs w:val="19"/>
              </w:rPr>
              <w:t xml:space="preserve">Target achievement is all-or-nothing at 100%. There is no slab-wise or pro-rata payout below the target. A slab structure will be provisioned in the database for future use but not implemented in this version.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A10</w:t>
            </w:r>
          </w:p>
        </w:tc>
        <w:tc>
          <w:tcPr>
            <w:tcW w:type="dxa" w:w="6126"/>
          </w:tcPr>
          <w:p>
            <w:pPr>
              <w:spacing w:after="40" w:before="40"/>
            </w:pPr>
            <w:r>
              <w:rPr>
                <w:rFonts w:ascii="Calibri" w:cs="Calibri" w:eastAsia="Calibri" w:hAnsi="Calibri"/>
                <w:b w:val="false"/>
                <w:bCs w:val="false"/>
                <w:sz w:val="19"/>
                <w:szCs w:val="19"/>
              </w:rPr>
              <w:t xml:space="preserve">Value Based — the target is compared against net value (VBRP-NETWR).</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A11</w:t>
            </w:r>
          </w:p>
        </w:tc>
        <w:tc>
          <w:tcPr>
            <w:tcW w:type="dxa" w:w="6126"/>
          </w:tcPr>
          <w:p>
            <w:pPr>
              <w:spacing w:after="40" w:before="40"/>
            </w:pPr>
            <w:r>
              <w:rPr>
                <w:rFonts w:ascii="Calibri" w:cs="Calibri" w:eastAsia="Calibri" w:hAnsi="Calibri"/>
                <w:b w:val="false"/>
                <w:bCs w:val="false"/>
                <w:sz w:val="19"/>
                <w:szCs w:val="19"/>
              </w:rPr>
              <w:t xml:space="preserve">Quantity Based — the target is compared against billed quantity (VBRP-FKIMG), converted to the material base unit of measure.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A12</w:t>
            </w:r>
          </w:p>
        </w:tc>
        <w:tc>
          <w:tcPr>
            <w:tcW w:type="dxa" w:w="6126"/>
          </w:tcPr>
          <w:p>
            <w:pPr>
              <w:spacing w:after="40" w:before="40"/>
            </w:pPr>
            <w:r>
              <w:rPr>
                <w:rFonts w:ascii="Calibri" w:cs="Calibri" w:eastAsia="Calibri" w:hAnsi="Calibri"/>
                <w:b w:val="false"/>
                <w:bCs w:val="false"/>
                <w:sz w:val="19"/>
                <w:szCs w:val="19"/>
              </w:rPr>
              <w:t xml:space="preserve">Ratio Based — each product target = Total Target x that product ratio %. Every product line must independently meet its own target for the scheme to be treated as achieved.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A13</w:t>
            </w:r>
          </w:p>
        </w:tc>
        <w:tc>
          <w:tcPr>
            <w:tcW w:type="dxa" w:w="6126"/>
          </w:tcPr>
          <w:p>
            <w:pPr>
              <w:spacing w:after="40" w:before="40"/>
            </w:pPr>
            <w:r>
              <w:rPr>
                <w:rFonts w:ascii="Calibri" w:cs="Calibri" w:eastAsia="Calibri" w:hAnsi="Calibri"/>
                <w:b w:val="false"/>
                <w:bCs w:val="false"/>
                <w:sz w:val="19"/>
                <w:szCs w:val="19"/>
              </w:rPr>
              <w:t xml:space="preserve">Value &amp; Ratio — both the value target and the ratio condition must be met.</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A14</w:t>
            </w:r>
          </w:p>
        </w:tc>
        <w:tc>
          <w:tcPr>
            <w:tcW w:type="dxa" w:w="6126"/>
          </w:tcPr>
          <w:p>
            <w:pPr>
              <w:spacing w:after="40" w:before="40"/>
            </w:pPr>
            <w:r>
              <w:rPr>
                <w:rFonts w:ascii="Calibri" w:cs="Calibri" w:eastAsia="Calibri" w:hAnsi="Calibri"/>
                <w:b w:val="false"/>
                <w:bCs w:val="false"/>
                <w:sz w:val="19"/>
                <w:szCs w:val="19"/>
              </w:rPr>
              <w:t xml:space="preserve">All amounts are in company code currency (INR). No foreign currency conversion is included in this version.</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3. Business Volume Determination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A15</w:t>
            </w:r>
          </w:p>
        </w:tc>
        <w:tc>
          <w:tcPr>
            <w:tcW w:type="dxa" w:w="6126"/>
          </w:tcPr>
          <w:p>
            <w:pPr>
              <w:spacing w:after="40" w:before="40"/>
            </w:pPr>
            <w:r>
              <w:rPr>
                <w:rFonts w:ascii="Calibri" w:cs="Calibri" w:eastAsia="Calibri" w:hAnsi="Calibri"/>
                <w:b w:val="false"/>
                <w:bCs w:val="false"/>
                <w:sz w:val="19"/>
                <w:szCs w:val="19"/>
              </w:rPr>
              <w:t xml:space="preserve">Business Volume is derived from billing documents (VBRK / VBRP) at line-item level, on the material.</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A16</w:t>
            </w:r>
          </w:p>
        </w:tc>
        <w:tc>
          <w:tcPr>
            <w:tcW w:type="dxa" w:w="6126"/>
          </w:tcPr>
          <w:p>
            <w:pPr>
              <w:spacing w:after="40" w:before="40"/>
            </w:pPr>
            <w:r>
              <w:rPr>
                <w:rFonts w:ascii="Calibri" w:cs="Calibri" w:eastAsia="Calibri" w:hAnsi="Calibri"/>
                <w:b w:val="false"/>
                <w:bCs w:val="false"/>
                <w:sz w:val="19"/>
                <w:szCs w:val="19"/>
              </w:rPr>
              <w:t xml:space="preserve">Only billing documents posted to accounting (VBRK-RFBSK = C) are considered. Cancelled documents and cancellation documents (VBRK-FKSTO = X) are excluded.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A17</w:t>
            </w:r>
          </w:p>
        </w:tc>
        <w:tc>
          <w:tcPr>
            <w:tcW w:type="dxa" w:w="6126"/>
          </w:tcPr>
          <w:p>
            <w:pPr>
              <w:spacing w:after="40" w:before="40"/>
            </w:pPr>
            <w:r>
              <w:rPr>
                <w:rFonts w:ascii="Calibri" w:cs="Calibri" w:eastAsia="Calibri" w:hAnsi="Calibri"/>
                <w:b w:val="false"/>
                <w:bCs w:val="false"/>
                <w:sz w:val="19"/>
                <w:szCs w:val="19"/>
              </w:rPr>
              <w:t xml:space="preserve">Billing types that count towards volume are maintained in a configuration table and are not hardcoded. Returns and credit memos are netted off as negative volume.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A18</w:t>
            </w:r>
          </w:p>
        </w:tc>
        <w:tc>
          <w:tcPr>
            <w:tcW w:type="dxa" w:w="6126"/>
          </w:tcPr>
          <w:p>
            <w:pPr>
              <w:spacing w:after="40" w:before="40"/>
            </w:pPr>
            <w:r>
              <w:rPr>
                <w:rFonts w:ascii="Calibri" w:cs="Calibri" w:eastAsia="Calibri" w:hAnsi="Calibri"/>
                <w:b w:val="false"/>
                <w:bCs w:val="false"/>
                <w:sz w:val="19"/>
                <w:szCs w:val="19"/>
              </w:rPr>
              <w:t xml:space="preserve">The settlement period is determined by the billing date (VBRK-FKDAT).</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A19</w:t>
            </w:r>
          </w:p>
        </w:tc>
        <w:tc>
          <w:tcPr>
            <w:tcW w:type="dxa" w:w="6126"/>
          </w:tcPr>
          <w:p>
            <w:pPr>
              <w:spacing w:after="40" w:before="40"/>
            </w:pPr>
            <w:r>
              <w:rPr>
                <w:rFonts w:ascii="Calibri" w:cs="Calibri" w:eastAsia="Calibri" w:hAnsi="Calibri"/>
                <w:b w:val="false"/>
                <w:bCs w:val="false"/>
                <w:sz w:val="19"/>
                <w:szCs w:val="19"/>
              </w:rPr>
              <w:t xml:space="preserve">Customer and material attributes (Material Group, Division, Distribution Channel, State, Customer Group 1 and 2) are read as recorded on the billing document, so later master data changes do not restate past volumes.</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A20</w:t>
            </w:r>
          </w:p>
        </w:tc>
        <w:tc>
          <w:tcPr>
            <w:tcW w:type="dxa" w:w="6126"/>
          </w:tcPr>
          <w:p>
            <w:pPr>
              <w:spacing w:after="40" w:before="40"/>
            </w:pPr>
            <w:r>
              <w:rPr>
                <w:rFonts w:ascii="Calibri" w:cs="Calibri" w:eastAsia="Calibri" w:hAnsi="Calibri"/>
                <w:b w:val="false"/>
                <w:bCs w:val="false"/>
                <w:sz w:val="19"/>
                <w:szCs w:val="19"/>
              </w:rPr>
              <w:t xml:space="preserve">The field "VBRP-NWTER" stated in the FS is read as VBRP-NETWR. No field named NWTER exists in the system.</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4. Calculation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A21</w:t>
            </w:r>
          </w:p>
        </w:tc>
        <w:tc>
          <w:tcPr>
            <w:tcW w:type="dxa" w:w="6126"/>
          </w:tcPr>
          <w:p>
            <w:pPr>
              <w:spacing w:after="40" w:before="40"/>
            </w:pPr>
            <w:r>
              <w:rPr>
                <w:rFonts w:ascii="Calibri" w:cs="Calibri" w:eastAsia="Calibri" w:hAnsi="Calibri"/>
                <w:b w:val="false"/>
                <w:bCs w:val="false"/>
                <w:sz w:val="19"/>
                <w:szCs w:val="19"/>
              </w:rPr>
              <w:t xml:space="preserve">Main Credit Note = Business Volume x Scheme %, payable only when Business Volume is greater than or equal to the Target.</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A22</w:t>
            </w:r>
          </w:p>
        </w:tc>
        <w:tc>
          <w:tcPr>
            <w:tcW w:type="dxa" w:w="6126"/>
          </w:tcPr>
          <w:p>
            <w:pPr>
              <w:spacing w:after="40" w:before="40"/>
            </w:pPr>
            <w:r>
              <w:rPr>
                <w:rFonts w:ascii="Calibri" w:cs="Calibri" w:eastAsia="Calibri" w:hAnsi="Calibri"/>
                <w:b w:val="false"/>
                <w:bCs w:val="false"/>
                <w:sz w:val="19"/>
                <w:szCs w:val="19"/>
              </w:rPr>
              <w:t xml:space="preserve">Early Bird Amount = Business Volume within the Early Bird date range x Early Bird %, payable only when that volume is greater than or equal to the Early Bird Target.</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A23</w:t>
            </w:r>
          </w:p>
        </w:tc>
        <w:tc>
          <w:tcPr>
            <w:tcW w:type="dxa" w:w="6126"/>
          </w:tcPr>
          <w:p>
            <w:pPr>
              <w:spacing w:after="40" w:before="40"/>
            </w:pPr>
            <w:r>
              <w:rPr>
                <w:rFonts w:ascii="Calibri" w:cs="Calibri" w:eastAsia="Calibri" w:hAnsi="Calibri"/>
                <w:b w:val="false"/>
                <w:bCs w:val="false"/>
                <w:sz w:val="19"/>
                <w:szCs w:val="19"/>
              </w:rPr>
              <w:t xml:space="preserve">Where the Early Bird Target is expressed as a percentage, it is taken as a percentage of the main scheme target.</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A24</w:t>
            </w:r>
          </w:p>
        </w:tc>
        <w:tc>
          <w:tcPr>
            <w:tcW w:type="dxa" w:w="6126"/>
          </w:tcPr>
          <w:p>
            <w:pPr>
              <w:spacing w:after="40" w:before="40"/>
            </w:pPr>
            <w:r>
              <w:rPr>
                <w:rFonts w:ascii="Calibri" w:cs="Calibri" w:eastAsia="Calibri" w:hAnsi="Calibri"/>
                <w:b w:val="false"/>
                <w:bCs w:val="false"/>
                <w:sz w:val="19"/>
                <w:szCs w:val="19"/>
              </w:rPr>
              <w:t xml:space="preserve">Cascading Value = total Credit Note already posted for the same customer and material scope under other schemes overlapping the same period. It is applied only when the Cascading indicator is set on the scheme.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A25</w:t>
            </w:r>
          </w:p>
        </w:tc>
        <w:tc>
          <w:tcPr>
            <w:tcW w:type="dxa" w:w="6126"/>
          </w:tcPr>
          <w:p>
            <w:pPr>
              <w:spacing w:after="40" w:before="40"/>
            </w:pPr>
            <w:r>
              <w:rPr>
                <w:rFonts w:ascii="Calibri" w:cs="Calibri" w:eastAsia="Calibri" w:hAnsi="Calibri"/>
                <w:b w:val="false"/>
                <w:bCs w:val="false"/>
                <w:sz w:val="19"/>
                <w:szCs w:val="19"/>
              </w:rPr>
              <w:t xml:space="preserve">CN Value = Main Credit Note + Early Bird Amount - Cascading Value. The FS states "Business volume + Early bird - Cascading"; read literally this would credit the entire sales value rather than the scheme percentage. We have assumed the scheme amount. Refer Query Q4.</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A26</w:t>
            </w:r>
          </w:p>
        </w:tc>
        <w:tc>
          <w:tcPr>
            <w:tcW w:type="dxa" w:w="6126"/>
          </w:tcPr>
          <w:p>
            <w:pPr>
              <w:spacing w:after="40" w:before="40"/>
            </w:pPr>
            <w:r>
              <w:rPr>
                <w:rFonts w:ascii="Calibri" w:cs="Calibri" w:eastAsia="Calibri" w:hAnsi="Calibri"/>
                <w:b w:val="false"/>
                <w:bCs w:val="false"/>
                <w:sz w:val="19"/>
                <w:szCs w:val="19"/>
              </w:rPr>
              <w:t xml:space="preserve">Where more than one scheme applies to the same customer and material, all applicable schemes pay out. The Cascading logic is the mechanism that prevents duplicate benefit.</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A27</w:t>
            </w:r>
          </w:p>
        </w:tc>
        <w:tc>
          <w:tcPr>
            <w:tcW w:type="dxa" w:w="6126"/>
          </w:tcPr>
          <w:p>
            <w:pPr>
              <w:spacing w:after="40" w:before="40"/>
            </w:pPr>
            <w:r>
              <w:rPr>
                <w:rFonts w:ascii="Calibri" w:cs="Calibri" w:eastAsia="Calibri" w:hAnsi="Calibri"/>
                <w:b w:val="false"/>
                <w:bCs w:val="false"/>
                <w:sz w:val="19"/>
                <w:szCs w:val="19"/>
              </w:rPr>
              <w:t xml:space="preserve">Where the calculated CN Value is zero or negative, no document is posted.</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5. Settlement and Document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A28</w:t>
            </w:r>
          </w:p>
        </w:tc>
        <w:tc>
          <w:tcPr>
            <w:tcW w:type="dxa" w:w="6126"/>
          </w:tcPr>
          <w:p>
            <w:pPr>
              <w:spacing w:after="40" w:before="40"/>
            </w:pPr>
            <w:r>
              <w:rPr>
                <w:rFonts w:ascii="Calibri" w:cs="Calibri" w:eastAsia="Calibri" w:hAnsi="Calibri"/>
                <w:b w:val="false"/>
                <w:bCs w:val="false"/>
                <w:sz w:val="19"/>
                <w:szCs w:val="19"/>
              </w:rPr>
              <w:t xml:space="preserve">One Credit Memo Request is created per customer, per scheme, per settlement period.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A29</w:t>
            </w:r>
          </w:p>
        </w:tc>
        <w:tc>
          <w:tcPr>
            <w:tcW w:type="dxa" w:w="6126"/>
          </w:tcPr>
          <w:p>
            <w:pPr>
              <w:spacing w:after="40" w:before="40"/>
            </w:pPr>
            <w:r>
              <w:rPr>
                <w:rFonts w:ascii="Calibri" w:cs="Calibri" w:eastAsia="Calibri" w:hAnsi="Calibri"/>
                <w:b w:val="false"/>
                <w:bCs w:val="false"/>
                <w:sz w:val="19"/>
                <w:szCs w:val="19"/>
              </w:rPr>
              <w:t xml:space="preserve">The document is created with a single line item on a service material, with the settlement value carried in a manually entered condition.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A30</w:t>
            </w:r>
          </w:p>
        </w:tc>
        <w:tc>
          <w:tcPr>
            <w:tcW w:type="dxa" w:w="6126"/>
          </w:tcPr>
          <w:p>
            <w:pPr>
              <w:spacing w:after="40" w:before="40"/>
            </w:pPr>
            <w:r>
              <w:rPr>
                <w:rFonts w:ascii="Calibri" w:cs="Calibri" w:eastAsia="Calibri" w:hAnsi="Calibri"/>
                <w:b w:val="false"/>
                <w:bCs w:val="false"/>
                <w:sz w:val="19"/>
                <w:szCs w:val="19"/>
              </w:rPr>
              <w:t xml:space="preserve">Standard released BAPIs will be used for creating the Credit Memo Request and the Billing document, in place of the function modules named in the FS (SD_SALESDOCUMENT_CREATE / RV_INVOICE_CREATE), which are internal SAP modules not released for customer use. There is no change to functionality.</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A31</w:t>
            </w:r>
          </w:p>
        </w:tc>
        <w:tc>
          <w:tcPr>
            <w:tcW w:type="dxa" w:w="6126"/>
          </w:tcPr>
          <w:p>
            <w:pPr>
              <w:spacing w:after="40" w:before="40"/>
            </w:pPr>
            <w:r>
              <w:rPr>
                <w:rFonts w:ascii="Calibri" w:cs="Calibri" w:eastAsia="Calibri" w:hAnsi="Calibri"/>
                <w:b w:val="false"/>
                <w:bCs w:val="false"/>
                <w:sz w:val="19"/>
                <w:szCs w:val="19"/>
              </w:rPr>
              <w:t xml:space="preserve">Settlement is re-runnable and idempotent. A status check prevents the same scheme / customer / period being credited twice, including after a failed or partially completed run.</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A32</w:t>
            </w:r>
          </w:p>
        </w:tc>
        <w:tc>
          <w:tcPr>
            <w:tcW w:type="dxa" w:w="6126"/>
          </w:tcPr>
          <w:p>
            <w:pPr>
              <w:spacing w:after="40" w:before="40"/>
            </w:pPr>
            <w:r>
              <w:rPr>
                <w:rFonts w:ascii="Calibri" w:cs="Calibri" w:eastAsia="Calibri" w:hAnsi="Calibri"/>
                <w:b w:val="false"/>
                <w:bCs w:val="false"/>
                <w:sz w:val="19"/>
                <w:szCs w:val="19"/>
              </w:rPr>
              <w:t xml:space="preserve">All settlement results are stored in a settlement log table, which is also the source data for the Cascading calculation.</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6. Lifecycle, Authorisation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A33</w:t>
            </w:r>
          </w:p>
        </w:tc>
        <w:tc>
          <w:tcPr>
            <w:tcW w:type="dxa" w:w="6126"/>
          </w:tcPr>
          <w:p>
            <w:pPr>
              <w:spacing w:after="40" w:before="40"/>
            </w:pPr>
            <w:r>
              <w:rPr>
                <w:rFonts w:ascii="Calibri" w:cs="Calibri" w:eastAsia="Calibri" w:hAnsi="Calibri"/>
                <w:b w:val="false"/>
                <w:bCs w:val="false"/>
                <w:sz w:val="19"/>
                <w:szCs w:val="19"/>
              </w:rPr>
              <w:t xml:space="preserve">Scheme status flow: New — Released — Partially Settled — Closed.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A34</w:t>
            </w:r>
          </w:p>
        </w:tc>
        <w:tc>
          <w:tcPr>
            <w:tcW w:type="dxa" w:w="6126"/>
          </w:tcPr>
          <w:p>
            <w:pPr>
              <w:spacing w:after="40" w:before="40"/>
            </w:pPr>
            <w:r>
              <w:rPr>
                <w:rFonts w:ascii="Calibri" w:cs="Calibri" w:eastAsia="Calibri" w:hAnsi="Calibri"/>
                <w:b w:val="false"/>
                <w:bCs w:val="false"/>
                <w:sz w:val="19"/>
                <w:szCs w:val="19"/>
              </w:rPr>
              <w:t xml:space="preserve">Once any Credit Note has been posted against a scheme, the scheme header and its selection criteria are locked against change.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A35</w:t>
            </w:r>
          </w:p>
        </w:tc>
        <w:tc>
          <w:tcPr>
            <w:tcW w:type="dxa" w:w="6126"/>
          </w:tcPr>
          <w:p>
            <w:pPr>
              <w:spacing w:after="40" w:before="40"/>
            </w:pPr>
            <w:r>
              <w:rPr>
                <w:rFonts w:ascii="Calibri" w:cs="Calibri" w:eastAsia="Calibri" w:hAnsi="Calibri"/>
                <w:b w:val="false"/>
                <w:bCs w:val="false"/>
                <w:sz w:val="19"/>
                <w:szCs w:val="19"/>
              </w:rPr>
              <w:t xml:space="preserve">After release, deletion is by deletion indicator only. Records are never physically deleted.</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A36</w:t>
            </w:r>
          </w:p>
        </w:tc>
        <w:tc>
          <w:tcPr>
            <w:tcW w:type="dxa" w:w="6126"/>
          </w:tcPr>
          <w:p>
            <w:pPr>
              <w:spacing w:after="40" w:before="40"/>
            </w:pPr>
            <w:r>
              <w:rPr>
                <w:rFonts w:ascii="Calibri" w:cs="Calibri" w:eastAsia="Calibri" w:hAnsi="Calibri"/>
                <w:b w:val="false"/>
                <w:bCs w:val="false"/>
                <w:sz w:val="19"/>
                <w:szCs w:val="19"/>
              </w:rPr>
              <w:t xml:space="preserve">All create, change and delete actions are recorded through SAP change documents for audit purposes.</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A37</w:t>
            </w:r>
          </w:p>
        </w:tc>
        <w:tc>
          <w:tcPr>
            <w:tcW w:type="dxa" w:w="6126"/>
          </w:tcPr>
          <w:p>
            <w:pPr>
              <w:spacing w:after="40" w:before="40"/>
            </w:pPr>
            <w:r>
              <w:rPr>
                <w:rFonts w:ascii="Calibri" w:cs="Calibri" w:eastAsia="Calibri" w:hAnsi="Calibri"/>
                <w:b w:val="false"/>
                <w:bCs w:val="false"/>
                <w:sz w:val="19"/>
                <w:szCs w:val="19"/>
              </w:rPr>
              <w:t xml:space="preserve">Two separate authorisation objects will be used — one for scheme maintenance (by Sales Organisation / Distribution Channel / Division and activity) and one for settlement posting — so that the user who creates a scheme cannot also post the Credit Note.</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7. Mass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A38</w:t>
            </w:r>
          </w:p>
        </w:tc>
        <w:tc>
          <w:tcPr>
            <w:tcW w:type="dxa" w:w="6126"/>
          </w:tcPr>
          <w:p>
            <w:pPr>
              <w:spacing w:after="40" w:before="40"/>
            </w:pPr>
            <w:r>
              <w:rPr>
                <w:rFonts w:ascii="Calibri" w:cs="Calibri" w:eastAsia="Calibri" w:hAnsi="Calibri"/>
                <w:b w:val="false"/>
                <w:bCs w:val="false"/>
                <w:sz w:val="19"/>
                <w:szCs w:val="19"/>
              </w:rPr>
              <w:t xml:space="preserve">Upload will use two linked files — one for scheme headers and one for the selection ranges — joined on a temporary reference key. A single flat row cannot carry multiple include / exclude values.</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A39</w:t>
            </w:r>
          </w:p>
        </w:tc>
        <w:tc>
          <w:tcPr>
            <w:tcW w:type="dxa" w:w="6126"/>
          </w:tcPr>
          <w:p>
            <w:pPr>
              <w:spacing w:after="40" w:before="40"/>
            </w:pPr>
            <w:r>
              <w:rPr>
                <w:rFonts w:ascii="Calibri" w:cs="Calibri" w:eastAsia="Calibri" w:hAnsi="Calibri"/>
                <w:b w:val="false"/>
                <w:bCs w:val="false"/>
                <w:sz w:val="19"/>
                <w:szCs w:val="19"/>
              </w:rPr>
              <w:t xml:space="preserve">The upload program applies exactly the same validations as the online transaction, using shared logic from a single source.</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A40</w:t>
            </w:r>
          </w:p>
        </w:tc>
        <w:tc>
          <w:tcPr>
            <w:tcW w:type="dxa" w:w="6126"/>
          </w:tcPr>
          <w:p>
            <w:pPr>
              <w:spacing w:after="40" w:before="40"/>
            </w:pPr>
            <w:r>
              <w:rPr>
                <w:rFonts w:ascii="Calibri" w:cs="Calibri" w:eastAsia="Calibri" w:hAnsi="Calibri"/>
                <w:b w:val="false"/>
                <w:bCs w:val="false"/>
                <w:sz w:val="19"/>
                <w:szCs w:val="19"/>
              </w:rPr>
              <w:t xml:space="preserve">Uploaded schemes are created in New status. Release remains a manual action.</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2"/>
        <w:spacing w:after="100" w:before="220"/>
      </w:pPr>
      <w:r>
        <w:rPr>
          <w:rFonts w:ascii="Calibri" w:cs="Calibri" w:eastAsia="Calibri" w:hAnsi="Calibri"/>
          <w:b/>
          <w:bCs/>
          <w:color w:val="2E5496"/>
          <w:sz w:val="22"/>
          <w:szCs w:val="22"/>
        </w:rPr>
        <w:t xml:space="preserve">8. Technical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26"/>
        <w:gridCol w:w="22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6126"/>
            <w:shd w:fill="D9D9D9" w:color="auto" w:val="clear"/>
          </w:tcPr>
          <w:p>
            <w:pPr>
              <w:spacing w:after="40" w:before="40"/>
            </w:pPr>
            <w:r>
              <w:rPr>
                <w:rFonts w:ascii="Calibri" w:cs="Calibri" w:eastAsia="Calibri" w:hAnsi="Calibri"/>
                <w:b/>
                <w:bCs/>
                <w:sz w:val="19"/>
                <w:szCs w:val="19"/>
              </w:rPr>
              <w:t xml:space="preserve">Assumption</w:t>
            </w:r>
          </w:p>
        </w:tc>
        <w:tc>
          <w:tcPr>
            <w:tcW w:type="dxa" w:w="2200"/>
            <w:shd w:fill="D9D9D9" w:color="auto" w:val="clear"/>
          </w:tcPr>
          <w:p>
            <w:pPr>
              <w:spacing w:after="40" w:before="40"/>
            </w:pPr>
            <w:r>
              <w:rPr>
                <w:rFonts w:ascii="Calibri" w:cs="Calibri" w:eastAsia="Calibri" w:hAnsi="Calibri"/>
                <w:b/>
                <w:bCs/>
                <w:sz w:val="19"/>
                <w:szCs w:val="19"/>
              </w:rPr>
              <w:t xml:space="preserve">Confirmed (Y/N) / Correction</w:t>
            </w:r>
          </w:p>
        </w:tc>
      </w:tr>
      <w:tr>
        <w:tc>
          <w:tcPr>
            <w:tcW w:type="dxa" w:w="700"/>
          </w:tcPr>
          <w:p>
            <w:pPr>
              <w:spacing w:after="40" w:before="40"/>
            </w:pPr>
            <w:r>
              <w:rPr>
                <w:rFonts w:ascii="Calibri" w:cs="Calibri" w:eastAsia="Calibri" w:hAnsi="Calibri"/>
                <w:b w:val="false"/>
                <w:bCs w:val="false"/>
                <w:sz w:val="19"/>
                <w:szCs w:val="19"/>
              </w:rPr>
              <w:t xml:space="preserve">A41</w:t>
            </w:r>
          </w:p>
        </w:tc>
        <w:tc>
          <w:tcPr>
            <w:tcW w:type="dxa" w:w="6126"/>
          </w:tcPr>
          <w:p>
            <w:pPr>
              <w:spacing w:after="40" w:before="40"/>
            </w:pPr>
            <w:r>
              <w:rPr>
                <w:rFonts w:ascii="Calibri" w:cs="Calibri" w:eastAsia="Calibri" w:hAnsi="Calibri"/>
                <w:b w:val="false"/>
                <w:bCs w:val="false"/>
                <w:sz w:val="19"/>
                <w:szCs w:val="19"/>
              </w:rPr>
              <w:t xml:space="preserve">Scheme maintenance will be delivered as a classic SAP GUI transaction (two screens with F4 helps, checkboxes and ALV), not as a Fiori application, in line with the screen design given in the FS.</w:t>
            </w:r>
          </w:p>
        </w:tc>
        <w:tc>
          <w:tcPr>
            <w:tcW w:type="dxa" w:w="2200"/>
          </w:tcPr>
          <w:p>
            <w:pPr>
              <w:spacing w:after="40" w:before="40"/>
            </w:pPr>
            <w:r>
              <w:rPr>
                <w:rFonts w:ascii="Calibri" w:cs="Calibri" w:eastAsia="Calibri" w:hAnsi="Calibri"/>
                <w:b w:val="false"/>
                <w:bCs w:val="false"/>
                <w:sz w:val="19"/>
                <w:szCs w:val="19"/>
              </w:rPr>
              <w:t xml:space="preserve"/>
            </w:r>
          </w:p>
        </w:tc>
      </w:tr>
      <w:tr>
        <w:tc>
          <w:tcPr>
            <w:tcW w:type="dxa" w:w="700"/>
          </w:tcPr>
          <w:p>
            <w:pPr>
              <w:spacing w:after="40" w:before="40"/>
            </w:pPr>
            <w:r>
              <w:rPr>
                <w:rFonts w:ascii="Calibri" w:cs="Calibri" w:eastAsia="Calibri" w:hAnsi="Calibri"/>
                <w:b w:val="false"/>
                <w:bCs w:val="false"/>
                <w:sz w:val="19"/>
                <w:szCs w:val="19"/>
              </w:rPr>
              <w:t xml:space="preserve">A42</w:t>
            </w:r>
          </w:p>
        </w:tc>
        <w:tc>
          <w:tcPr>
            <w:tcW w:type="dxa" w:w="6126"/>
          </w:tcPr>
          <w:p>
            <w:pPr>
              <w:spacing w:after="40" w:before="40"/>
            </w:pPr>
            <w:r>
              <w:rPr>
                <w:rFonts w:ascii="Calibri" w:cs="Calibri" w:eastAsia="Calibri" w:hAnsi="Calibri"/>
                <w:b w:val="false"/>
                <w:bCs w:val="false"/>
                <w:sz w:val="19"/>
                <w:szCs w:val="19"/>
              </w:rPr>
              <w:t xml:space="preserve">The report and the settlement posting will be delivered as a single program. The Post button will be visible only to users holding the settlement authorisation.</w:t>
            </w:r>
          </w:p>
        </w:tc>
        <w:tc>
          <w:tcPr>
            <w:tcW w:type="dxa" w:w="2200"/>
          </w:tcPr>
          <w:p>
            <w:pPr>
              <w:spacing w:after="40" w:before="40"/>
            </w:pPr>
            <w:r>
              <w:rPr>
                <w:rFonts w:ascii="Calibri" w:cs="Calibri" w:eastAsia="Calibri" w:hAnsi="Calibri"/>
                <w:b w:val="false"/>
                <w:bCs w:val="false"/>
                <w:sz w:val="19"/>
                <w:szCs w:val="19"/>
              </w:rPr>
              <w:t xml:space="preserve"/>
            </w:r>
          </w:p>
        </w:tc>
      </w:tr>
    </w:tbl>
    <w:p>
      <w:pPr>
        <w:pStyle w:val="Heading1"/>
        <w:spacing w:after="140" w:before="300"/>
      </w:pPr>
      <w:r>
        <w:rPr>
          <w:rFonts w:ascii="Calibri" w:cs="Calibri" w:eastAsia="Calibri" w:hAnsi="Calibri"/>
          <w:b/>
          <w:bCs/>
          <w:color w:val="1F3864"/>
          <w:sz w:val="26"/>
          <w:szCs w:val="26"/>
        </w:rPr>
        <w:t xml:space="preserve">2.  Open Queries</w:t>
      </w:r>
    </w:p>
    <w:p>
      <w:pPr>
        <w:pStyle w:val="Heading2"/>
        <w:spacing w:after="100" w:before="220"/>
      </w:pPr>
      <w:r>
        <w:rPr>
          <w:rFonts w:ascii="Calibri" w:cs="Calibri" w:eastAsia="Calibri" w:hAnsi="Calibri"/>
          <w:b/>
          <w:bCs/>
          <w:color w:val="2E5496"/>
          <w:sz w:val="22"/>
          <w:szCs w:val="22"/>
        </w:rPr>
        <w:t xml:space="preserve">2.1  Blocking — required before development can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900"/>
        <w:gridCol w:w="18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4626"/>
            <w:shd w:fill="D9D9D9" w:color="auto" w:val="clear"/>
          </w:tcPr>
          <w:p>
            <w:pPr>
              <w:spacing w:after="40" w:before="40"/>
            </w:pPr>
            <w:r>
              <w:rPr>
                <w:rFonts w:ascii="Calibri" w:cs="Calibri" w:eastAsia="Calibri" w:hAnsi="Calibri"/>
                <w:b/>
                <w:bCs/>
                <w:sz w:val="19"/>
                <w:szCs w:val="19"/>
              </w:rPr>
              <w:t xml:space="preserve">Query</w:t>
            </w:r>
          </w:p>
        </w:tc>
        <w:tc>
          <w:tcPr>
            <w:tcW w:type="dxa" w:w="1900"/>
            <w:shd w:fill="D9D9D9" w:color="auto" w:val="clear"/>
          </w:tcPr>
          <w:p>
            <w:pPr>
              <w:spacing w:after="40" w:before="40"/>
            </w:pPr>
            <w:r>
              <w:rPr>
                <w:rFonts w:ascii="Calibri" w:cs="Calibri" w:eastAsia="Calibri" w:hAnsi="Calibri"/>
                <w:b/>
                <w:bCs/>
                <w:sz w:val="19"/>
                <w:szCs w:val="19"/>
              </w:rPr>
              <w:t xml:space="preserve">Impact if not answered</w:t>
            </w:r>
          </w:p>
        </w:tc>
        <w:tc>
          <w:tcPr>
            <w:tcW w:type="dxa" w:w="1800"/>
            <w:shd w:fill="D9D9D9" w:color="auto" w:val="clear"/>
          </w:tcPr>
          <w:p>
            <w:pPr>
              <w:spacing w:after="40" w:before="40"/>
            </w:pPr>
            <w:r>
              <w:rPr>
                <w:rFonts w:ascii="Calibri" w:cs="Calibri" w:eastAsia="Calibri" w:hAnsi="Calibri"/>
                <w:b/>
                <w:bCs/>
                <w:sz w:val="19"/>
                <w:szCs w:val="19"/>
              </w:rPr>
              <w:t xml:space="preserve">To be answered by</w:t>
            </w:r>
          </w:p>
        </w:tc>
      </w:tr>
      <w:tr>
        <w:tc>
          <w:tcPr>
            <w:tcW w:type="dxa" w:w="700"/>
          </w:tcPr>
          <w:p>
            <w:pPr>
              <w:spacing w:after="40" w:before="40"/>
            </w:pPr>
            <w:r>
              <w:rPr>
                <w:rFonts w:ascii="Calibri" w:cs="Calibri" w:eastAsia="Calibri" w:hAnsi="Calibri"/>
                <w:b w:val="false"/>
                <w:bCs w:val="false"/>
                <w:sz w:val="19"/>
                <w:szCs w:val="19"/>
              </w:rPr>
              <w:t xml:space="preserve">Q1</w:t>
            </w:r>
          </w:p>
        </w:tc>
        <w:tc>
          <w:tcPr>
            <w:tcW w:type="dxa" w:w="4626"/>
          </w:tcPr>
          <w:p>
            <w:pPr>
              <w:spacing w:after="40" w:before="40"/>
            </w:pPr>
            <w:r>
              <w:rPr>
                <w:rFonts w:ascii="Calibri" w:cs="Calibri" w:eastAsia="Calibri" w:hAnsi="Calibri"/>
                <w:b w:val="false"/>
                <w:bCs w:val="false"/>
                <w:sz w:val="19"/>
                <w:szCs w:val="19"/>
              </w:rPr>
              <w:t xml:space="preserve">Please confirm the development package, the namespace to be used (customer namespace or standard Z*), the object naming convention, and the development system and client for this object.</w:t>
            </w:r>
          </w:p>
        </w:tc>
        <w:tc>
          <w:tcPr>
            <w:tcW w:type="dxa" w:w="1900"/>
          </w:tcPr>
          <w:p>
            <w:pPr>
              <w:spacing w:after="40" w:before="40"/>
            </w:pPr>
            <w:r>
              <w:rPr>
                <w:rFonts w:ascii="Calibri" w:cs="Calibri" w:eastAsia="Calibri" w:hAnsi="Calibri"/>
                <w:b w:val="false"/>
                <w:bCs w:val="false"/>
                <w:sz w:val="19"/>
                <w:szCs w:val="19"/>
              </w:rPr>
              <w:t xml:space="preserve">No development object can be created until this is known.</w:t>
            </w:r>
          </w:p>
        </w:tc>
        <w:tc>
          <w:tcPr>
            <w:tcW w:type="dxa" w:w="1800"/>
          </w:tcPr>
          <w:p>
            <w:pPr>
              <w:spacing w:after="40" w:before="40"/>
            </w:pPr>
            <w:r>
              <w:rPr>
                <w:rFonts w:ascii="Calibri" w:cs="Calibri" w:eastAsia="Calibri" w:hAnsi="Calibri"/>
                <w:b w:val="false"/>
                <w:bCs w:val="false"/>
                <w:sz w:val="19"/>
                <w:szCs w:val="19"/>
              </w:rPr>
              <w:t xml:space="preserve">Project / Basis lead</w:t>
            </w:r>
          </w:p>
        </w:tc>
      </w:tr>
      <w:tr>
        <w:tc>
          <w:tcPr>
            <w:tcW w:type="dxa" w:w="700"/>
          </w:tcPr>
          <w:p>
            <w:pPr>
              <w:spacing w:after="40" w:before="40"/>
            </w:pPr>
            <w:r>
              <w:rPr>
                <w:rFonts w:ascii="Calibri" w:cs="Calibri" w:eastAsia="Calibri" w:hAnsi="Calibri"/>
                <w:b w:val="false"/>
                <w:bCs w:val="false"/>
                <w:sz w:val="19"/>
                <w:szCs w:val="19"/>
              </w:rPr>
              <w:t xml:space="preserve">Q2</w:t>
            </w:r>
          </w:p>
        </w:tc>
        <w:tc>
          <w:tcPr>
            <w:tcW w:type="dxa" w:w="4626"/>
          </w:tcPr>
          <w:p>
            <w:pPr>
              <w:spacing w:after="40" w:before="40"/>
            </w:pPr>
            <w:r>
              <w:rPr>
                <w:rFonts w:ascii="Calibri" w:cs="Calibri" w:eastAsia="Calibri" w:hAnsi="Calibri"/>
                <w:b w:val="false"/>
                <w:bCs w:val="false"/>
                <w:sz w:val="19"/>
                <w:szCs w:val="19"/>
              </w:rPr>
              <w:t xml:space="preserve">Please confirm that the following fields exist and are populated in this system: VBRP-VTWEG_AUFT, VBRP-KUNAG_ANA, VBRP-WKREG, and customer fields KNA1-ZZ1_SP_CODE_CUS, ZZ1_LOC1_CUS, ZZ1_LOC2_CUS. If any are unavailable the report mapping must be redrawn from VBAK / KNVV.</w:t>
            </w:r>
          </w:p>
        </w:tc>
        <w:tc>
          <w:tcPr>
            <w:tcW w:type="dxa" w:w="1900"/>
          </w:tcPr>
          <w:p>
            <w:pPr>
              <w:spacing w:after="40" w:before="40"/>
            </w:pPr>
            <w:r>
              <w:rPr>
                <w:rFonts w:ascii="Calibri" w:cs="Calibri" w:eastAsia="Calibri" w:hAnsi="Calibri"/>
                <w:b w:val="false"/>
                <w:bCs w:val="false"/>
                <w:sz w:val="19"/>
                <w:szCs w:val="19"/>
              </w:rPr>
              <w:t xml:space="preserve">Report field mapping cannot be finalised.</w:t>
            </w:r>
          </w:p>
        </w:tc>
        <w:tc>
          <w:tcPr>
            <w:tcW w:type="dxa" w:w="1800"/>
          </w:tcPr>
          <w:p>
            <w:pPr>
              <w:spacing w:after="40" w:before="40"/>
            </w:pPr>
            <w:r>
              <w:rPr>
                <w:rFonts w:ascii="Calibri" w:cs="Calibri" w:eastAsia="Calibri" w:hAnsi="Calibri"/>
                <w:b w:val="false"/>
                <w:bCs w:val="false"/>
                <w:sz w:val="19"/>
                <w:szCs w:val="19"/>
              </w:rPr>
              <w:t xml:space="preserve">SD functional / Basis (can be verified directly with system access)</w:t>
            </w:r>
          </w:p>
        </w:tc>
      </w:tr>
      <w:tr>
        <w:tc>
          <w:tcPr>
            <w:tcW w:type="dxa" w:w="700"/>
          </w:tcPr>
          <w:p>
            <w:pPr>
              <w:spacing w:after="40" w:before="40"/>
            </w:pPr>
            <w:r>
              <w:rPr>
                <w:rFonts w:ascii="Calibri" w:cs="Calibri" w:eastAsia="Calibri" w:hAnsi="Calibri"/>
                <w:b w:val="false"/>
                <w:bCs w:val="false"/>
                <w:sz w:val="19"/>
                <w:szCs w:val="19"/>
              </w:rPr>
              <w:t xml:space="preserve">Q3</w:t>
            </w:r>
          </w:p>
        </w:tc>
        <w:tc>
          <w:tcPr>
            <w:tcW w:type="dxa" w:w="4626"/>
          </w:tcPr>
          <w:p>
            <w:pPr>
              <w:spacing w:after="40" w:before="40"/>
            </w:pPr>
            <w:r>
              <w:rPr>
                <w:rFonts w:ascii="Calibri" w:cs="Calibri" w:eastAsia="Calibri" w:hAnsi="Calibri"/>
                <w:b w:val="false"/>
                <w:bCs w:val="false"/>
                <w:sz w:val="19"/>
                <w:szCs w:val="19"/>
              </w:rPr>
              <w:t xml:space="preserve">Please provide the actual Credit Memo Request order type and Billing type to be used. The FS refers to "CREDIT MEMO" and variant "TEST1", which appear to be descriptions rather than configured types. Please also confirm whether a service material exists for scheme payouts or needs to be created.</w:t>
            </w:r>
          </w:p>
        </w:tc>
        <w:tc>
          <w:tcPr>
            <w:tcW w:type="dxa" w:w="1900"/>
          </w:tcPr>
          <w:p>
            <w:pPr>
              <w:spacing w:after="40" w:before="40"/>
            </w:pPr>
            <w:r>
              <w:rPr>
                <w:rFonts w:ascii="Calibri" w:cs="Calibri" w:eastAsia="Calibri" w:hAnsi="Calibri"/>
                <w:b w:val="false"/>
                <w:bCs w:val="false"/>
                <w:sz w:val="19"/>
                <w:szCs w:val="19"/>
              </w:rPr>
              <w:t xml:space="preserve">Settlement posting cannot be built or tested.</w:t>
            </w:r>
          </w:p>
        </w:tc>
        <w:tc>
          <w:tcPr>
            <w:tcW w:type="dxa" w:w="1800"/>
          </w:tcPr>
          <w:p>
            <w:pPr>
              <w:spacing w:after="40" w:before="40"/>
            </w:pPr>
            <w:r>
              <w:rPr>
                <w:rFonts w:ascii="Calibri" w:cs="Calibri" w:eastAsia="Calibri" w:hAnsi="Calibri"/>
                <w:b w:val="false"/>
                <w:bCs w:val="false"/>
                <w:sz w:val="19"/>
                <w:szCs w:val="19"/>
              </w:rPr>
              <w:t xml:space="preserve">SD configuration</w:t>
            </w:r>
          </w:p>
        </w:tc>
      </w:tr>
    </w:tbl>
    <w:p>
      <w:pPr>
        <w:pStyle w:val="Heading2"/>
        <w:spacing w:after="100" w:before="220"/>
      </w:pPr>
      <w:r>
        <w:rPr>
          <w:rFonts w:ascii="Calibri" w:cs="Calibri" w:eastAsia="Calibri" w:hAnsi="Calibri"/>
          <w:b/>
          <w:bCs/>
          <w:color w:val="2E5496"/>
          <w:sz w:val="22"/>
          <w:szCs w:val="22"/>
        </w:rPr>
        <w:t xml:space="preserve">2.2  Required before the relevant phase — not blocking the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626"/>
        <w:gridCol w:w="1900"/>
        <w:gridCol w:w="1800"/>
      </w:tblGrid>
      <w:tr>
        <w:trPr>
          <w:tblHeader/>
        </w:trPr>
        <w:tc>
          <w:tcPr>
            <w:tcW w:type="dxa" w:w="700"/>
            <w:shd w:fill="D9D9D9" w:color="auto" w:val="clear"/>
          </w:tcPr>
          <w:p>
            <w:pPr>
              <w:spacing w:after="40" w:before="40"/>
            </w:pPr>
            <w:r>
              <w:rPr>
                <w:rFonts w:ascii="Calibri" w:cs="Calibri" w:eastAsia="Calibri" w:hAnsi="Calibri"/>
                <w:b/>
                <w:bCs/>
                <w:sz w:val="19"/>
                <w:szCs w:val="19"/>
              </w:rPr>
              <w:t xml:space="preserve">#</w:t>
            </w:r>
          </w:p>
        </w:tc>
        <w:tc>
          <w:tcPr>
            <w:tcW w:type="dxa" w:w="4626"/>
            <w:shd w:fill="D9D9D9" w:color="auto" w:val="clear"/>
          </w:tcPr>
          <w:p>
            <w:pPr>
              <w:spacing w:after="40" w:before="40"/>
            </w:pPr>
            <w:r>
              <w:rPr>
                <w:rFonts w:ascii="Calibri" w:cs="Calibri" w:eastAsia="Calibri" w:hAnsi="Calibri"/>
                <w:b/>
                <w:bCs/>
                <w:sz w:val="19"/>
                <w:szCs w:val="19"/>
              </w:rPr>
              <w:t xml:space="preserve">Query</w:t>
            </w:r>
          </w:p>
        </w:tc>
        <w:tc>
          <w:tcPr>
            <w:tcW w:type="dxa" w:w="1900"/>
            <w:shd w:fill="D9D9D9" w:color="auto" w:val="clear"/>
          </w:tcPr>
          <w:p>
            <w:pPr>
              <w:spacing w:after="40" w:before="40"/>
            </w:pPr>
            <w:r>
              <w:rPr>
                <w:rFonts w:ascii="Calibri" w:cs="Calibri" w:eastAsia="Calibri" w:hAnsi="Calibri"/>
                <w:b/>
                <w:bCs/>
                <w:sz w:val="19"/>
                <w:szCs w:val="19"/>
              </w:rPr>
              <w:t xml:space="preserve">Required by</w:t>
            </w:r>
          </w:p>
        </w:tc>
        <w:tc>
          <w:tcPr>
            <w:tcW w:type="dxa" w:w="1800"/>
            <w:shd w:fill="D9D9D9" w:color="auto" w:val="clear"/>
          </w:tcPr>
          <w:p>
            <w:pPr>
              <w:spacing w:after="40" w:before="40"/>
            </w:pPr>
            <w:r>
              <w:rPr>
                <w:rFonts w:ascii="Calibri" w:cs="Calibri" w:eastAsia="Calibri" w:hAnsi="Calibri"/>
                <w:b/>
                <w:bCs/>
                <w:sz w:val="19"/>
                <w:szCs w:val="19"/>
              </w:rPr>
              <w:t xml:space="preserve">To be answered by</w:t>
            </w:r>
          </w:p>
        </w:tc>
      </w:tr>
      <w:tr>
        <w:tc>
          <w:tcPr>
            <w:tcW w:type="dxa" w:w="700"/>
          </w:tcPr>
          <w:p>
            <w:pPr>
              <w:spacing w:after="40" w:before="40"/>
            </w:pPr>
            <w:r>
              <w:rPr>
                <w:rFonts w:ascii="Calibri" w:cs="Calibri" w:eastAsia="Calibri" w:hAnsi="Calibri"/>
                <w:b w:val="false"/>
                <w:bCs w:val="false"/>
                <w:sz w:val="19"/>
                <w:szCs w:val="19"/>
              </w:rPr>
              <w:t xml:space="preserve">Q4</w:t>
            </w:r>
          </w:p>
        </w:tc>
        <w:tc>
          <w:tcPr>
            <w:tcW w:type="dxa" w:w="4626"/>
          </w:tcPr>
          <w:p>
            <w:pPr>
              <w:spacing w:after="40" w:before="40"/>
            </w:pPr>
            <w:r>
              <w:rPr>
                <w:rFonts w:ascii="Calibri" w:cs="Calibri" w:eastAsia="Calibri" w:hAnsi="Calibri"/>
                <w:b w:val="false"/>
                <w:bCs w:val="false"/>
                <w:sz w:val="19"/>
                <w:szCs w:val="19"/>
              </w:rPr>
              <w:t xml:space="preserve">Please confirm the CN Value formula as stated in assumption A25. Read literally, the FS would credit the entire sales value instead of the scheme percentage.</w:t>
            </w:r>
          </w:p>
        </w:tc>
        <w:tc>
          <w:tcPr>
            <w:tcW w:type="dxa" w:w="1900"/>
          </w:tcPr>
          <w:p>
            <w:pPr>
              <w:spacing w:after="40" w:before="40"/>
            </w:pPr>
            <w:r>
              <w:rPr>
                <w:rFonts w:ascii="Calibri" w:cs="Calibri" w:eastAsia="Calibri" w:hAnsi="Calibri"/>
                <w:b w:val="false"/>
                <w:bCs w:val="false"/>
                <w:sz w:val="19"/>
                <w:szCs w:val="19"/>
              </w:rPr>
              <w:t xml:space="preserve">Before settlement build</w:t>
            </w:r>
          </w:p>
        </w:tc>
        <w:tc>
          <w:tcPr>
            <w:tcW w:type="dxa" w:w="1800"/>
          </w:tcPr>
          <w:p>
            <w:pPr>
              <w:spacing w:after="40" w:before="40"/>
            </w:pPr>
            <w:r>
              <w:rPr>
                <w:rFonts w:ascii="Calibri" w:cs="Calibri" w:eastAsia="Calibri" w:hAnsi="Calibri"/>
                <w:b w:val="false"/>
                <w:bCs w:val="false"/>
                <w:sz w:val="19"/>
                <w:szCs w:val="19"/>
              </w:rPr>
              <w:t xml:space="preserve">SD functional</w:t>
            </w:r>
          </w:p>
        </w:tc>
      </w:tr>
      <w:tr>
        <w:tc>
          <w:tcPr>
            <w:tcW w:type="dxa" w:w="700"/>
          </w:tcPr>
          <w:p>
            <w:pPr>
              <w:spacing w:after="40" w:before="40"/>
            </w:pPr>
            <w:r>
              <w:rPr>
                <w:rFonts w:ascii="Calibri" w:cs="Calibri" w:eastAsia="Calibri" w:hAnsi="Calibri"/>
                <w:b w:val="false"/>
                <w:bCs w:val="false"/>
                <w:sz w:val="19"/>
                <w:szCs w:val="19"/>
              </w:rPr>
              <w:t xml:space="preserve">Q5</w:t>
            </w:r>
          </w:p>
        </w:tc>
        <w:tc>
          <w:tcPr>
            <w:tcW w:type="dxa" w:w="4626"/>
          </w:tcPr>
          <w:p>
            <w:pPr>
              <w:spacing w:after="40" w:before="40"/>
            </w:pPr>
            <w:r>
              <w:rPr>
                <w:rFonts w:ascii="Calibri" w:cs="Calibri" w:eastAsia="Calibri" w:hAnsi="Calibri"/>
                <w:b w:val="false"/>
                <w:bCs w:val="false"/>
                <w:sz w:val="19"/>
                <w:szCs w:val="19"/>
              </w:rPr>
              <w:t xml:space="preserve">Cascading — please define the exact scope: which schemes are considered (all overlapping schemes or a specified list), at what level material is matched (Material Group 1 to 5, or material), and over what period the earlier Credit Notes are summed.</w:t>
            </w:r>
          </w:p>
        </w:tc>
        <w:tc>
          <w:tcPr>
            <w:tcW w:type="dxa" w:w="1900"/>
          </w:tcPr>
          <w:p>
            <w:pPr>
              <w:spacing w:after="40" w:before="40"/>
            </w:pPr>
            <w:r>
              <w:rPr>
                <w:rFonts w:ascii="Calibri" w:cs="Calibri" w:eastAsia="Calibri" w:hAnsi="Calibri"/>
                <w:b w:val="false"/>
                <w:bCs w:val="false"/>
                <w:sz w:val="19"/>
                <w:szCs w:val="19"/>
              </w:rPr>
              <w:t xml:space="preserve">Before settlement build</w:t>
            </w:r>
          </w:p>
        </w:tc>
        <w:tc>
          <w:tcPr>
            <w:tcW w:type="dxa" w:w="1800"/>
          </w:tcPr>
          <w:p>
            <w:pPr>
              <w:spacing w:after="40" w:before="40"/>
            </w:pPr>
            <w:r>
              <w:rPr>
                <w:rFonts w:ascii="Calibri" w:cs="Calibri" w:eastAsia="Calibri" w:hAnsi="Calibri"/>
                <w:b w:val="false"/>
                <w:bCs w:val="false"/>
                <w:sz w:val="19"/>
                <w:szCs w:val="19"/>
              </w:rPr>
              <w:t xml:space="preserve">SD functional</w:t>
            </w:r>
          </w:p>
        </w:tc>
      </w:tr>
      <w:tr>
        <w:tc>
          <w:tcPr>
            <w:tcW w:type="dxa" w:w="700"/>
          </w:tcPr>
          <w:p>
            <w:pPr>
              <w:spacing w:after="40" w:before="40"/>
            </w:pPr>
            <w:r>
              <w:rPr>
                <w:rFonts w:ascii="Calibri" w:cs="Calibri" w:eastAsia="Calibri" w:hAnsi="Calibri"/>
                <w:b w:val="false"/>
                <w:bCs w:val="false"/>
                <w:sz w:val="19"/>
                <w:szCs w:val="19"/>
              </w:rPr>
              <w:t xml:space="preserve">Q6</w:t>
            </w:r>
          </w:p>
        </w:tc>
        <w:tc>
          <w:tcPr>
            <w:tcW w:type="dxa" w:w="4626"/>
          </w:tcPr>
          <w:p>
            <w:pPr>
              <w:spacing w:after="40" w:before="40"/>
            </w:pPr>
            <w:r>
              <w:rPr>
                <w:rFonts w:ascii="Calibri" w:cs="Calibri" w:eastAsia="Calibri" w:hAnsi="Calibri"/>
                <w:b w:val="false"/>
                <w:bCs w:val="false"/>
                <w:sz w:val="19"/>
                <w:szCs w:val="19"/>
              </w:rPr>
              <w:t xml:space="preserve">Early Bird — please confirm whether the Early Bird amount is calculated on volume within the Early Bird window only, or on total scheme volume, and confirm assumptions A22 and A23.</w:t>
            </w:r>
          </w:p>
        </w:tc>
        <w:tc>
          <w:tcPr>
            <w:tcW w:type="dxa" w:w="1900"/>
          </w:tcPr>
          <w:p>
            <w:pPr>
              <w:spacing w:after="40" w:before="40"/>
            </w:pPr>
            <w:r>
              <w:rPr>
                <w:rFonts w:ascii="Calibri" w:cs="Calibri" w:eastAsia="Calibri" w:hAnsi="Calibri"/>
                <w:b w:val="false"/>
                <w:bCs w:val="false"/>
                <w:sz w:val="19"/>
                <w:szCs w:val="19"/>
              </w:rPr>
              <w:t xml:space="preserve">Before settlement build</w:t>
            </w:r>
          </w:p>
        </w:tc>
        <w:tc>
          <w:tcPr>
            <w:tcW w:type="dxa" w:w="1800"/>
          </w:tcPr>
          <w:p>
            <w:pPr>
              <w:spacing w:after="40" w:before="40"/>
            </w:pPr>
            <w:r>
              <w:rPr>
                <w:rFonts w:ascii="Calibri" w:cs="Calibri" w:eastAsia="Calibri" w:hAnsi="Calibri"/>
                <w:b w:val="false"/>
                <w:bCs w:val="false"/>
                <w:sz w:val="19"/>
                <w:szCs w:val="19"/>
              </w:rPr>
              <w:t xml:space="preserve">SD functional</w:t>
            </w:r>
          </w:p>
        </w:tc>
      </w:tr>
      <w:tr>
        <w:tc>
          <w:tcPr>
            <w:tcW w:type="dxa" w:w="700"/>
          </w:tcPr>
          <w:p>
            <w:pPr>
              <w:spacing w:after="40" w:before="40"/>
            </w:pPr>
            <w:r>
              <w:rPr>
                <w:rFonts w:ascii="Calibri" w:cs="Calibri" w:eastAsia="Calibri" w:hAnsi="Calibri"/>
                <w:b w:val="false"/>
                <w:bCs w:val="false"/>
                <w:sz w:val="19"/>
                <w:szCs w:val="19"/>
              </w:rPr>
              <w:t xml:space="preserve">Q7</w:t>
            </w:r>
          </w:p>
        </w:tc>
        <w:tc>
          <w:tcPr>
            <w:tcW w:type="dxa" w:w="4626"/>
          </w:tcPr>
          <w:p>
            <w:pPr>
              <w:spacing w:after="40" w:before="40"/>
            </w:pPr>
            <w:r>
              <w:rPr>
                <w:rFonts w:ascii="Calibri" w:cs="Calibri" w:eastAsia="Calibri" w:hAnsi="Calibri"/>
                <w:b w:val="false"/>
                <w:bCs w:val="false"/>
                <w:sz w:val="19"/>
                <w:szCs w:val="19"/>
              </w:rPr>
              <w:t xml:space="preserve">Please provide the list of billing types to be included in, and excluded from, Business Volume.</w:t>
            </w:r>
          </w:p>
        </w:tc>
        <w:tc>
          <w:tcPr>
            <w:tcW w:type="dxa" w:w="1900"/>
          </w:tcPr>
          <w:p>
            <w:pPr>
              <w:spacing w:after="40" w:before="40"/>
            </w:pPr>
            <w:r>
              <w:rPr>
                <w:rFonts w:ascii="Calibri" w:cs="Calibri" w:eastAsia="Calibri" w:hAnsi="Calibri"/>
                <w:b w:val="false"/>
                <w:bCs w:val="false"/>
                <w:sz w:val="19"/>
                <w:szCs w:val="19"/>
              </w:rPr>
              <w:t xml:space="preserve">Before report testing</w:t>
            </w:r>
          </w:p>
        </w:tc>
        <w:tc>
          <w:tcPr>
            <w:tcW w:type="dxa" w:w="1800"/>
          </w:tcPr>
          <w:p>
            <w:pPr>
              <w:spacing w:after="40" w:before="40"/>
            </w:pPr>
            <w:r>
              <w:rPr>
                <w:rFonts w:ascii="Calibri" w:cs="Calibri" w:eastAsia="Calibri" w:hAnsi="Calibri"/>
                <w:b w:val="false"/>
                <w:bCs w:val="false"/>
                <w:sz w:val="19"/>
                <w:szCs w:val="19"/>
              </w:rPr>
              <w:t xml:space="preserve">SD functional</w:t>
            </w:r>
          </w:p>
        </w:tc>
      </w:tr>
      <w:tr>
        <w:tc>
          <w:tcPr>
            <w:tcW w:type="dxa" w:w="700"/>
          </w:tcPr>
          <w:p>
            <w:pPr>
              <w:spacing w:after="40" w:before="40"/>
            </w:pPr>
            <w:r>
              <w:rPr>
                <w:rFonts w:ascii="Calibri" w:cs="Calibri" w:eastAsia="Calibri" w:hAnsi="Calibri"/>
                <w:b w:val="false"/>
                <w:bCs w:val="false"/>
                <w:sz w:val="19"/>
                <w:szCs w:val="19"/>
              </w:rPr>
              <w:t xml:space="preserve">Q8</w:t>
            </w:r>
          </w:p>
        </w:tc>
        <w:tc>
          <w:tcPr>
            <w:tcW w:type="dxa" w:w="4626"/>
          </w:tcPr>
          <w:p>
            <w:pPr>
              <w:spacing w:after="40" w:before="40"/>
            </w:pPr>
            <w:r>
              <w:rPr>
                <w:rFonts w:ascii="Calibri" w:cs="Calibri" w:eastAsia="Calibri" w:hAnsi="Calibri"/>
                <w:b w:val="false"/>
                <w:bCs w:val="false"/>
                <w:sz w:val="19"/>
                <w:szCs w:val="19"/>
              </w:rPr>
              <w:t xml:space="preserve">Zone and Sub-Zone — please confirm the source fields. Both are marked "to be decided later" in the FS.</w:t>
            </w:r>
          </w:p>
        </w:tc>
        <w:tc>
          <w:tcPr>
            <w:tcW w:type="dxa" w:w="1900"/>
          </w:tcPr>
          <w:p>
            <w:pPr>
              <w:spacing w:after="40" w:before="40"/>
            </w:pPr>
            <w:r>
              <w:rPr>
                <w:rFonts w:ascii="Calibri" w:cs="Calibri" w:eastAsia="Calibri" w:hAnsi="Calibri"/>
                <w:b w:val="false"/>
                <w:bCs w:val="false"/>
                <w:sz w:val="19"/>
                <w:szCs w:val="19"/>
              </w:rPr>
              <w:t xml:space="preserve">Before UAT</w:t>
            </w:r>
          </w:p>
        </w:tc>
        <w:tc>
          <w:tcPr>
            <w:tcW w:type="dxa" w:w="1800"/>
          </w:tcPr>
          <w:p>
            <w:pPr>
              <w:spacing w:after="40" w:before="40"/>
            </w:pPr>
            <w:r>
              <w:rPr>
                <w:rFonts w:ascii="Calibri" w:cs="Calibri" w:eastAsia="Calibri" w:hAnsi="Calibri"/>
                <w:b w:val="false"/>
                <w:bCs w:val="false"/>
                <w:sz w:val="19"/>
                <w:szCs w:val="19"/>
              </w:rPr>
              <w:t xml:space="preserve">SD functional</w:t>
            </w:r>
          </w:p>
        </w:tc>
      </w:tr>
      <w:tr>
        <w:tc>
          <w:tcPr>
            <w:tcW w:type="dxa" w:w="700"/>
          </w:tcPr>
          <w:p>
            <w:pPr>
              <w:spacing w:after="40" w:before="40"/>
            </w:pPr>
            <w:r>
              <w:rPr>
                <w:rFonts w:ascii="Calibri" w:cs="Calibri" w:eastAsia="Calibri" w:hAnsi="Calibri"/>
                <w:b w:val="false"/>
                <w:bCs w:val="false"/>
                <w:sz w:val="19"/>
                <w:szCs w:val="19"/>
              </w:rPr>
              <w:t xml:space="preserve">Q9</w:t>
            </w:r>
          </w:p>
        </w:tc>
        <w:tc>
          <w:tcPr>
            <w:tcW w:type="dxa" w:w="4626"/>
          </w:tcPr>
          <w:p>
            <w:pPr>
              <w:spacing w:after="40" w:before="40"/>
            </w:pPr>
            <w:r>
              <w:rPr>
                <w:rFonts w:ascii="Calibri" w:cs="Calibri" w:eastAsia="Calibri" w:hAnsi="Calibri"/>
                <w:b w:val="false"/>
                <w:bCs w:val="false"/>
                <w:sz w:val="19"/>
                <w:szCs w:val="19"/>
              </w:rPr>
              <w:t xml:space="preserve">The FS reads State from the billing document (VBRP-WKREG) but Location 1 and Location 2 from current customer master (KNA1). Please confirm this difference is intended.</w:t>
            </w:r>
          </w:p>
        </w:tc>
        <w:tc>
          <w:tcPr>
            <w:tcW w:type="dxa" w:w="1900"/>
          </w:tcPr>
          <w:p>
            <w:pPr>
              <w:spacing w:after="40" w:before="40"/>
            </w:pPr>
            <w:r>
              <w:rPr>
                <w:rFonts w:ascii="Calibri" w:cs="Calibri" w:eastAsia="Calibri" w:hAnsi="Calibri"/>
                <w:b w:val="false"/>
                <w:bCs w:val="false"/>
                <w:sz w:val="19"/>
                <w:szCs w:val="19"/>
              </w:rPr>
              <w:t xml:space="preserve">Before report build</w:t>
            </w:r>
          </w:p>
        </w:tc>
        <w:tc>
          <w:tcPr>
            <w:tcW w:type="dxa" w:w="1800"/>
          </w:tcPr>
          <w:p>
            <w:pPr>
              <w:spacing w:after="40" w:before="40"/>
            </w:pPr>
            <w:r>
              <w:rPr>
                <w:rFonts w:ascii="Calibri" w:cs="Calibri" w:eastAsia="Calibri" w:hAnsi="Calibri"/>
                <w:b w:val="false"/>
                <w:bCs w:val="false"/>
                <w:sz w:val="19"/>
                <w:szCs w:val="19"/>
              </w:rPr>
              <w:t xml:space="preserve">SD functional</w:t>
            </w:r>
          </w:p>
        </w:tc>
      </w:tr>
      <w:tr>
        <w:tc>
          <w:tcPr>
            <w:tcW w:type="dxa" w:w="700"/>
          </w:tcPr>
          <w:p>
            <w:pPr>
              <w:spacing w:after="40" w:before="40"/>
            </w:pPr>
            <w:r>
              <w:rPr>
                <w:rFonts w:ascii="Calibri" w:cs="Calibri" w:eastAsia="Calibri" w:hAnsi="Calibri"/>
                <w:b w:val="false"/>
                <w:bCs w:val="false"/>
                <w:sz w:val="19"/>
                <w:szCs w:val="19"/>
              </w:rPr>
              <w:t xml:space="preserve">Q10</w:t>
            </w:r>
          </w:p>
        </w:tc>
        <w:tc>
          <w:tcPr>
            <w:tcW w:type="dxa" w:w="4626"/>
          </w:tcPr>
          <w:p>
            <w:pPr>
              <w:spacing w:after="40" w:before="40"/>
            </w:pPr>
            <w:r>
              <w:rPr>
                <w:rFonts w:ascii="Calibri" w:cs="Calibri" w:eastAsia="Calibri" w:hAnsi="Calibri"/>
                <w:b w:val="false"/>
                <w:bCs w:val="false"/>
                <w:sz w:val="19"/>
                <w:szCs w:val="19"/>
              </w:rPr>
              <w:t xml:space="preserve">Please confirm whether slab-wise payout will be required at any stage, so that the structure can be provisioned correctly now rather than through a later database change.</w:t>
            </w:r>
          </w:p>
        </w:tc>
        <w:tc>
          <w:tcPr>
            <w:tcW w:type="dxa" w:w="1900"/>
          </w:tcPr>
          <w:p>
            <w:pPr>
              <w:spacing w:after="40" w:before="40"/>
            </w:pPr>
            <w:r>
              <w:rPr>
                <w:rFonts w:ascii="Calibri" w:cs="Calibri" w:eastAsia="Calibri" w:hAnsi="Calibri"/>
                <w:b w:val="false"/>
                <w:bCs w:val="false"/>
                <w:sz w:val="19"/>
                <w:szCs w:val="19"/>
              </w:rPr>
              <w:t xml:space="preserve">Before data model freeze</w:t>
            </w:r>
          </w:p>
        </w:tc>
        <w:tc>
          <w:tcPr>
            <w:tcW w:type="dxa" w:w="1800"/>
          </w:tcPr>
          <w:p>
            <w:pPr>
              <w:spacing w:after="40" w:before="40"/>
            </w:pPr>
            <w:r>
              <w:rPr>
                <w:rFonts w:ascii="Calibri" w:cs="Calibri" w:eastAsia="Calibri" w:hAnsi="Calibri"/>
                <w:b w:val="false"/>
                <w:bCs w:val="false"/>
                <w:sz w:val="19"/>
                <w:szCs w:val="19"/>
              </w:rPr>
              <w:t xml:space="preserve">Business / SD functional</w:t>
            </w:r>
          </w:p>
        </w:tc>
      </w:tr>
      <w:tr>
        <w:tc>
          <w:tcPr>
            <w:tcW w:type="dxa" w:w="700"/>
          </w:tcPr>
          <w:p>
            <w:pPr>
              <w:spacing w:after="40" w:before="40"/>
            </w:pPr>
            <w:r>
              <w:rPr>
                <w:rFonts w:ascii="Calibri" w:cs="Calibri" w:eastAsia="Calibri" w:hAnsi="Calibri"/>
                <w:b w:val="false"/>
                <w:bCs w:val="false"/>
                <w:sz w:val="19"/>
                <w:szCs w:val="19"/>
              </w:rPr>
              <w:t xml:space="preserve">Q11</w:t>
            </w:r>
          </w:p>
        </w:tc>
        <w:tc>
          <w:tcPr>
            <w:tcW w:type="dxa" w:w="4626"/>
          </w:tcPr>
          <w:p>
            <w:pPr>
              <w:spacing w:after="40" w:before="40"/>
            </w:pPr>
            <w:r>
              <w:rPr>
                <w:rFonts w:ascii="Calibri" w:cs="Calibri" w:eastAsia="Calibri" w:hAnsi="Calibri"/>
                <w:b w:val="false"/>
                <w:bCs w:val="false"/>
                <w:sz w:val="19"/>
                <w:szCs w:val="19"/>
              </w:rPr>
              <w:t xml:space="preserve">Please confirm the user roles authorised to (a) create and change schemes and (b) post settlements.</w:t>
            </w:r>
          </w:p>
        </w:tc>
        <w:tc>
          <w:tcPr>
            <w:tcW w:type="dxa" w:w="1900"/>
          </w:tcPr>
          <w:p>
            <w:pPr>
              <w:spacing w:after="40" w:before="40"/>
            </w:pPr>
            <w:r>
              <w:rPr>
                <w:rFonts w:ascii="Calibri" w:cs="Calibri" w:eastAsia="Calibri" w:hAnsi="Calibri"/>
                <w:b w:val="false"/>
                <w:bCs w:val="false"/>
                <w:sz w:val="19"/>
                <w:szCs w:val="19"/>
              </w:rPr>
              <w:t xml:space="preserve">Before authorisation build</w:t>
            </w:r>
          </w:p>
        </w:tc>
        <w:tc>
          <w:tcPr>
            <w:tcW w:type="dxa" w:w="1800"/>
          </w:tcPr>
          <w:p>
            <w:pPr>
              <w:spacing w:after="40" w:before="40"/>
            </w:pPr>
            <w:r>
              <w:rPr>
                <w:rFonts w:ascii="Calibri" w:cs="Calibri" w:eastAsia="Calibri" w:hAnsi="Calibri"/>
                <w:b w:val="false"/>
                <w:bCs w:val="false"/>
                <w:sz w:val="19"/>
                <w:szCs w:val="19"/>
              </w:rPr>
              <w:t xml:space="preserve">Security / Business</w:t>
            </w:r>
          </w:p>
        </w:tc>
      </w:tr>
      <w:tr>
        <w:tc>
          <w:tcPr>
            <w:tcW w:type="dxa" w:w="700"/>
          </w:tcPr>
          <w:p>
            <w:pPr>
              <w:spacing w:after="40" w:before="40"/>
            </w:pPr>
            <w:r>
              <w:rPr>
                <w:rFonts w:ascii="Calibri" w:cs="Calibri" w:eastAsia="Calibri" w:hAnsi="Calibri"/>
                <w:b w:val="false"/>
                <w:bCs w:val="false"/>
                <w:sz w:val="19"/>
                <w:szCs w:val="19"/>
              </w:rPr>
              <w:t xml:space="preserve">Q12</w:t>
            </w:r>
          </w:p>
        </w:tc>
        <w:tc>
          <w:tcPr>
            <w:tcW w:type="dxa" w:w="4626"/>
          </w:tcPr>
          <w:p>
            <w:pPr>
              <w:spacing w:after="40" w:before="40"/>
            </w:pPr>
            <w:r>
              <w:rPr>
                <w:rFonts w:ascii="Calibri" w:cs="Calibri" w:eastAsia="Calibri" w:hAnsi="Calibri"/>
                <w:b w:val="false"/>
                <w:bCs w:val="false"/>
                <w:sz w:val="19"/>
                <w:szCs w:val="19"/>
              </w:rPr>
              <w:t xml:space="preserve">FS sections 1.2 Initiating Process, 2.2 Messages, 2.3 Security and Authorisation and 3 Testing Requirements are currently blank and the document is unapproved. Please complete and sign off to baseline the FS.</w:t>
            </w:r>
          </w:p>
        </w:tc>
        <w:tc>
          <w:tcPr>
            <w:tcW w:type="dxa" w:w="1900"/>
          </w:tcPr>
          <w:p>
            <w:pPr>
              <w:spacing w:after="40" w:before="40"/>
            </w:pPr>
            <w:r>
              <w:rPr>
                <w:rFonts w:ascii="Calibri" w:cs="Calibri" w:eastAsia="Calibri" w:hAnsi="Calibri"/>
                <w:b w:val="false"/>
                <w:bCs w:val="false"/>
                <w:sz w:val="19"/>
                <w:szCs w:val="19"/>
              </w:rPr>
              <w:t xml:space="preserve">Before FS baseline</w:t>
            </w:r>
          </w:p>
        </w:tc>
        <w:tc>
          <w:tcPr>
            <w:tcW w:type="dxa" w:w="1800"/>
          </w:tcPr>
          <w:p>
            <w:pPr>
              <w:spacing w:after="40" w:before="40"/>
            </w:pPr>
            <w:r>
              <w:rPr>
                <w:rFonts w:ascii="Calibri" w:cs="Calibri" w:eastAsia="Calibri" w:hAnsi="Calibri"/>
                <w:b w:val="false"/>
                <w:bCs w:val="false"/>
                <w:sz w:val="19"/>
                <w:szCs w:val="19"/>
              </w:rPr>
              <w:t xml:space="preserve">FS author / Business</w:t>
            </w:r>
          </w:p>
        </w:tc>
      </w:tr>
    </w:tbl>
    <w:p>
      <w:pPr>
        <w:pStyle w:val="Heading1"/>
        <w:spacing w:after="140" w:before="300"/>
      </w:pPr>
      <w:r>
        <w:rPr>
          <w:rFonts w:ascii="Calibri" w:cs="Calibri" w:eastAsia="Calibri" w:hAnsi="Calibri"/>
          <w:b/>
          <w:bCs/>
          <w:color w:val="1F3864"/>
          <w:sz w:val="26"/>
          <w:szCs w:val="26"/>
        </w:rPr>
        <w:t xml:space="preserve">3.  Position Summary</w:t>
      </w:r>
    </w:p>
    <w:p>
      <w:pPr>
        <w:spacing w:after="60" w:before="60"/>
      </w:pPr>
      <w:r>
        <w:rPr>
          <w:rFonts w:ascii="Calibri" w:cs="Calibri" w:eastAsia="Calibri" w:hAnsi="Calibri"/>
          <w:b w:val="false"/>
          <w:bCs w:val="false"/>
          <w:i w:val="false"/>
          <w:iCs w:val="false"/>
          <w:sz w:val="19"/>
          <w:szCs w:val="19"/>
        </w:rPr>
        <w:t xml:space="preserve">With the above assumptions confirmed, the data model, scheme maintenance transaction, mass upload program and report can all be developed without further input. Only the settlement posting depends on the answers to Q3 to Q6, and settlement is the last item in the build sequence.</w:t>
      </w:r>
    </w:p>
    <w:p>
      <w:pPr>
        <w:spacing w:after="60" w:before="60"/>
      </w:pPr>
      <w:r>
        <w:rPr>
          <w:rFonts w:ascii="Calibri" w:cs="Calibri" w:eastAsia="Calibri" w:hAnsi="Calibri"/>
          <w:b w:val="false"/>
          <w:bCs w:val="false"/>
          <w:i w:val="false"/>
          <w:iCs w:val="false"/>
          <w:sz w:val="19"/>
          <w:szCs w:val="19"/>
        </w:rPr>
        <w:t xml:space="preserve">Query Q1 is the only item that prevents work from starting immediately and requires a response at the earliest.</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2026-08-17T05:40:53.809Z</dcterms:created>
  <dcterms:modified xsi:type="dcterms:W3CDTF">2026-08-17T05:40:53.817Z</dcterms:modified>
</cp:coreProperties>
</file>

<file path=docProps/custom.xml><?xml version="1.0" encoding="utf-8"?>
<Properties xmlns="http://schemas.openxmlformats.org/officeDocument/2006/custom-properties" xmlns:vt="http://schemas.openxmlformats.org/officeDocument/2006/docPropsVTypes"/>
</file>