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4"/>
          <w:szCs w:val="34"/>
        </w:rPr>
        <w:t xml:space="preserve">ZFORECAST — Annual Forecast</w:t>
      </w:r>
    </w:p>
    <w:p>
      <w:pPr>
        <w:pBdr>
          <w:bottom w:val="single" w:color="1F3864" w:sz="8" w:space="6"/>
        </w:pBdr>
        <w:spacing w:after="220"/>
      </w:pPr>
      <w:r>
        <w:rPr>
          <w:rFonts w:ascii="Calibri" w:cs="Calibri" w:eastAsia="Calibri" w:hAnsi="Calibri"/>
          <w:i/>
          <w:iCs/>
          <w:color w:val="595959"/>
          <w:sz w:val="20"/>
          <w:szCs w:val="20"/>
        </w:rPr>
        <w:t xml:space="preserve">How the report works, in plain terms — for functional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color="auto" w:val="clear"/>
          </w:tcPr>
          <w:p>
            <w:pPr>
              <w:spacing w:after="40" w:before="40"/>
            </w:pPr>
            <w:r>
              <w:rPr>
                <w:rFonts w:ascii="Calibri" w:cs="Calibri" w:eastAsia="Calibri" w:hAnsi="Calibri"/>
                <w:b/>
                <w:bCs/>
                <w:sz w:val="19"/>
                <w:szCs w:val="19"/>
              </w:rPr>
              <w:t xml:space="preserve">Item</w:t>
            </w:r>
          </w:p>
        </w:tc>
        <w:tc>
          <w:tcPr>
            <w:tcW w:type="dxa" w:w="6826"/>
            <w:shd w:fill="D9D9D9" w:color="auto" w:val="clear"/>
          </w:tcPr>
          <w:p>
            <w:pPr>
              <w:spacing w:after="40" w:before="40"/>
            </w:pPr>
            <w:r>
              <w:rPr>
                <w:rFonts w:ascii="Calibri" w:cs="Calibri" w:eastAsia="Calibri" w:hAnsi="Calibri"/>
                <w:b/>
                <w:bCs/>
                <w:sz w:val="19"/>
                <w:szCs w:val="19"/>
              </w:rPr>
              <w:t xml:space="preserve">Detail</w:t>
            </w:r>
          </w:p>
        </w:tc>
      </w:tr>
      <w:tr>
        <w:tc>
          <w:tcPr>
            <w:tcW w:type="dxa" w:w="2200"/>
          </w:tcPr>
          <w:p>
            <w:pPr>
              <w:spacing w:after="40" w:before="40"/>
            </w:pPr>
            <w:r>
              <w:rPr>
                <w:rFonts w:ascii="Calibri" w:cs="Calibri" w:eastAsia="Calibri" w:hAnsi="Calibri"/>
                <w:b w:val="false"/>
                <w:bCs w:val="false"/>
                <w:sz w:val="19"/>
                <w:szCs w:val="19"/>
              </w:rPr>
              <w:t xml:space="preserve">Object</w:t>
            </w:r>
          </w:p>
        </w:tc>
        <w:tc>
          <w:tcPr>
            <w:tcW w:type="dxa" w:w="6826"/>
          </w:tcPr>
          <w:p>
            <w:pPr>
              <w:spacing w:after="40" w:before="40"/>
            </w:pPr>
            <w:r>
              <w:rPr>
                <w:rFonts w:ascii="Calibri" w:cs="Calibri" w:eastAsia="Calibri" w:hAnsi="Calibri"/>
                <w:b w:val="false"/>
                <w:bCs w:val="false"/>
                <w:sz w:val="19"/>
                <w:szCs w:val="19"/>
              </w:rPr>
              <w:t xml:space="preserve">ZFORECAST — Annual Forecast Generation (radio button 1)</w:t>
            </w:r>
          </w:p>
        </w:tc>
      </w:tr>
      <w:tr>
        <w:tc>
          <w:tcPr>
            <w:tcW w:type="dxa" w:w="2200"/>
          </w:tcPr>
          <w:p>
            <w:pPr>
              <w:spacing w:after="40" w:before="40"/>
            </w:pPr>
            <w:r>
              <w:rPr>
                <w:rFonts w:ascii="Calibri" w:cs="Calibri" w:eastAsia="Calibri" w:hAnsi="Calibri"/>
                <w:b w:val="false"/>
                <w:bCs w:val="false"/>
                <w:sz w:val="19"/>
                <w:szCs w:val="19"/>
              </w:rPr>
              <w:t xml:space="preserve">Reference</w:t>
            </w:r>
          </w:p>
        </w:tc>
        <w:tc>
          <w:tcPr>
            <w:tcW w:type="dxa" w:w="6826"/>
          </w:tcPr>
          <w:p>
            <w:pPr>
              <w:spacing w:after="40" w:before="40"/>
            </w:pPr>
            <w:r>
              <w:rPr>
                <w:rFonts w:ascii="Calibri" w:cs="Calibri" w:eastAsia="Calibri" w:hAnsi="Calibri"/>
                <w:b w:val="false"/>
                <w:bCs w:val="false"/>
                <w:sz w:val="19"/>
                <w:szCs w:val="19"/>
              </w:rPr>
              <w:t xml:space="preserve">Forecast Template-Adhesive.xlsx dated 20.08.2026, sheet "FS radio Button 1"</w:t>
            </w:r>
          </w:p>
        </w:tc>
      </w:tr>
      <w:tr>
        <w:tc>
          <w:tcPr>
            <w:tcW w:type="dxa" w:w="2200"/>
          </w:tcPr>
          <w:p>
            <w:pPr>
              <w:spacing w:after="40" w:before="40"/>
            </w:pPr>
            <w:r>
              <w:rPr>
                <w:rFonts w:ascii="Calibri" w:cs="Calibri" w:eastAsia="Calibri" w:hAnsi="Calibri"/>
                <w:b w:val="false"/>
                <w:bCs w:val="false"/>
                <w:sz w:val="19"/>
                <w:szCs w:val="19"/>
              </w:rPr>
              <w:t xml:space="preserve">Division</w:t>
            </w:r>
          </w:p>
        </w:tc>
        <w:tc>
          <w:tcPr>
            <w:tcW w:type="dxa" w:w="6826"/>
          </w:tcPr>
          <w:p>
            <w:pPr>
              <w:spacing w:after="40" w:before="40"/>
            </w:pPr>
            <w:r>
              <w:rPr>
                <w:rFonts w:ascii="Calibri" w:cs="Calibri" w:eastAsia="Calibri" w:hAnsi="Calibri"/>
                <w:b w:val="false"/>
                <w:bCs w:val="false"/>
                <w:sz w:val="19"/>
                <w:szCs w:val="19"/>
              </w:rPr>
              <w:t xml:space="preserve">Adhesive</w:t>
            </w:r>
          </w:p>
        </w:tc>
      </w:tr>
      <w:tr>
        <w:tc>
          <w:tcPr>
            <w:tcW w:type="dxa" w:w="2200"/>
          </w:tcPr>
          <w:p>
            <w:pPr>
              <w:spacing w:after="40" w:before="40"/>
            </w:pPr>
            <w:r>
              <w:rPr>
                <w:rFonts w:ascii="Calibri" w:cs="Calibri" w:eastAsia="Calibri" w:hAnsi="Calibri"/>
                <w:b w:val="false"/>
                <w:bCs w:val="false"/>
                <w:sz w:val="19"/>
                <w:szCs w:val="19"/>
              </w:rPr>
              <w:t xml:space="preserve">Purpose of this note</w:t>
            </w:r>
          </w:p>
        </w:tc>
        <w:tc>
          <w:tcPr>
            <w:tcW w:type="dxa" w:w="6826"/>
          </w:tcPr>
          <w:p>
            <w:pPr>
              <w:spacing w:after="40" w:before="40"/>
            </w:pPr>
            <w:r>
              <w:rPr>
                <w:rFonts w:ascii="Calibri" w:cs="Calibri" w:eastAsia="Calibri" w:hAnsi="Calibri"/>
                <w:b w:val="false"/>
                <w:bCs w:val="false"/>
                <w:sz w:val="19"/>
                <w:szCs w:val="19"/>
              </w:rPr>
              <w:t xml:space="preserve">Describes what the program does at every step so the functional team can confirm it matches intent before testing continues</w:t>
            </w:r>
          </w:p>
        </w:tc>
      </w:tr>
    </w:tbl>
    <w:p>
      <w:pPr>
        <w:pStyle w:val="Heading1"/>
        <w:spacing w:after="120" w:before="280"/>
      </w:pPr>
      <w:r>
        <w:rPr>
          <w:rFonts w:ascii="Calibri" w:cs="Calibri" w:eastAsia="Calibri" w:hAnsi="Calibri"/>
          <w:b/>
          <w:bCs/>
          <w:color w:val="1F3864"/>
          <w:sz w:val="26"/>
          <w:szCs w:val="26"/>
        </w:rPr>
        <w:t xml:space="preserve">1.  What the report does</w:t>
      </w:r>
    </w:p>
    <w:p>
      <w:pPr>
        <w:spacing w:after="60" w:before="60"/>
      </w:pPr>
      <w:r>
        <w:rPr>
          <w:rFonts w:ascii="Calibri" w:cs="Calibri" w:eastAsia="Calibri" w:hAnsi="Calibri"/>
          <w:b w:val="false"/>
          <w:bCs w:val="false"/>
          <w:i w:val="false"/>
          <w:iCs w:val="false"/>
          <w:sz w:val="20"/>
          <w:szCs w:val="20"/>
        </w:rPr>
        <w:t xml:space="preserve">For each material in a plant, the report works out how much is expected to sell in each of the twelve months of a coming financial year. It does this by looking at what actually sold in the previous financial year and applying a growth factor to it.</w:t>
      </w:r>
    </w:p>
    <w:p>
      <w:pPr>
        <w:spacing w:after="60" w:before="60"/>
      </w:pPr>
      <w:r>
        <w:rPr>
          <w:rFonts w:ascii="Calibri" w:cs="Calibri" w:eastAsia="Calibri" w:hAnsi="Calibri"/>
          <w:b w:val="false"/>
          <w:bCs w:val="false"/>
          <w:i w:val="false"/>
          <w:iCs w:val="false"/>
          <w:sz w:val="20"/>
          <w:szCs w:val="20"/>
        </w:rPr>
        <w:t xml:space="preserve">The report only displays the result. Nothing is stored until the user selects rows and presses Save.</w:t>
      </w:r>
    </w:p>
    <w:p>
      <w:pPr>
        <w:pStyle w:val="Heading1"/>
        <w:spacing w:after="120" w:before="280"/>
      </w:pPr>
      <w:r>
        <w:rPr>
          <w:rFonts w:ascii="Calibri" w:cs="Calibri" w:eastAsia="Calibri" w:hAnsi="Calibri"/>
          <w:b/>
          <w:bCs/>
          <w:color w:val="1F3864"/>
          <w:sz w:val="26"/>
          <w:szCs w:val="26"/>
        </w:rPr>
        <w:t xml:space="preserve">2.  Running the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shd w:fill="D9D9D9" w:color="auto" w:val="clear"/>
          </w:tcPr>
          <w:p>
            <w:pPr>
              <w:spacing w:after="40" w:before="40"/>
            </w:pPr>
            <w:r>
              <w:rPr>
                <w:rFonts w:ascii="Calibri" w:cs="Calibri" w:eastAsia="Calibri" w:hAnsi="Calibri"/>
                <w:b/>
                <w:bCs/>
                <w:sz w:val="19"/>
                <w:szCs w:val="19"/>
              </w:rPr>
              <w:t xml:space="preserve">Field</w:t>
            </w:r>
          </w:p>
        </w:tc>
        <w:tc>
          <w:tcPr>
            <w:tcW w:type="dxa" w:w="1400"/>
            <w:shd w:fill="D9D9D9" w:color="auto" w:val="clear"/>
          </w:tcPr>
          <w:p>
            <w:pPr>
              <w:spacing w:after="40" w:before="40"/>
            </w:pPr>
            <w:r>
              <w:rPr>
                <w:rFonts w:ascii="Calibri" w:cs="Calibri" w:eastAsia="Calibri" w:hAnsi="Calibri"/>
                <w:b/>
                <w:bCs/>
                <w:sz w:val="19"/>
                <w:szCs w:val="19"/>
              </w:rPr>
              <w:t xml:space="preserve">Required</w:t>
            </w:r>
          </w:p>
        </w:tc>
        <w:tc>
          <w:tcPr>
            <w:tcW w:type="dxa" w:w="5426"/>
            <w:shd w:fill="D9D9D9" w:color="auto" w:val="clear"/>
          </w:tcPr>
          <w:p>
            <w:pPr>
              <w:spacing w:after="40" w:before="40"/>
            </w:pPr>
            <w:r>
              <w:rPr>
                <w:rFonts w:ascii="Calibri" w:cs="Calibri" w:eastAsia="Calibri" w:hAnsi="Calibri"/>
                <w:b/>
                <w:bCs/>
                <w:sz w:val="19"/>
                <w:szCs w:val="19"/>
              </w:rPr>
              <w:t xml:space="preserve">What it does</w:t>
            </w:r>
          </w:p>
        </w:tc>
      </w:tr>
      <w:tr>
        <w:tc>
          <w:tcPr>
            <w:tcW w:type="dxa" w:w="2200"/>
          </w:tcPr>
          <w:p>
            <w:pPr>
              <w:spacing w:after="40" w:before="40"/>
            </w:pPr>
            <w:r>
              <w:rPr>
                <w:rFonts w:ascii="Calibri" w:cs="Calibri" w:eastAsia="Calibri" w:hAnsi="Calibri"/>
                <w:b w:val="false"/>
                <w:bCs w:val="false"/>
                <w:sz w:val="19"/>
                <w:szCs w:val="19"/>
              </w:rPr>
              <w:t xml:space="preserve">Plant</w:t>
            </w:r>
          </w:p>
        </w:tc>
        <w:tc>
          <w:tcPr>
            <w:tcW w:type="dxa" w:w="1400"/>
          </w:tcPr>
          <w:p>
            <w:pPr>
              <w:spacing w:after="40" w:before="40"/>
            </w:pPr>
            <w:r>
              <w:rPr>
                <w:rFonts w:ascii="Calibri" w:cs="Calibri" w:eastAsia="Calibri" w:hAnsi="Calibri"/>
                <w:b w:val="false"/>
                <w:bCs w:val="false"/>
                <w:sz w:val="19"/>
                <w:szCs w:val="19"/>
              </w:rPr>
              <w:t xml:space="preserve">Yes</w:t>
            </w:r>
          </w:p>
        </w:tc>
        <w:tc>
          <w:tcPr>
            <w:tcW w:type="dxa" w:w="5426"/>
          </w:tcPr>
          <w:p>
            <w:pPr>
              <w:spacing w:after="40" w:before="40"/>
            </w:pPr>
            <w:r>
              <w:rPr>
                <w:rFonts w:ascii="Calibri" w:cs="Calibri" w:eastAsia="Calibri" w:hAnsi="Calibri"/>
                <w:b w:val="false"/>
                <w:bCs w:val="false"/>
                <w:sz w:val="19"/>
                <w:szCs w:val="19"/>
              </w:rPr>
              <w:t xml:space="preserve">Which plant or plants to forecast for. A range may be entered.</w:t>
            </w:r>
          </w:p>
        </w:tc>
      </w:tr>
      <w:tr>
        <w:tc>
          <w:tcPr>
            <w:tcW w:type="dxa" w:w="2200"/>
          </w:tcPr>
          <w:p>
            <w:pPr>
              <w:spacing w:after="40" w:before="40"/>
            </w:pPr>
            <w:r>
              <w:rPr>
                <w:rFonts w:ascii="Calibri" w:cs="Calibri" w:eastAsia="Calibri" w:hAnsi="Calibri"/>
                <w:b w:val="false"/>
                <w:bCs w:val="false"/>
                <w:sz w:val="19"/>
                <w:szCs w:val="19"/>
              </w:rPr>
              <w:t xml:space="preserve">Material</w:t>
            </w:r>
          </w:p>
        </w:tc>
        <w:tc>
          <w:tcPr>
            <w:tcW w:type="dxa" w:w="1400"/>
          </w:tcPr>
          <w:p>
            <w:pPr>
              <w:spacing w:after="40" w:before="40"/>
            </w:pPr>
            <w:r>
              <w:rPr>
                <w:rFonts w:ascii="Calibri" w:cs="Calibri" w:eastAsia="Calibri" w:hAnsi="Calibri"/>
                <w:b w:val="false"/>
                <w:bCs w:val="false"/>
                <w:sz w:val="19"/>
                <w:szCs w:val="19"/>
              </w:rPr>
              <w:t xml:space="preserve">No</w:t>
            </w:r>
          </w:p>
        </w:tc>
        <w:tc>
          <w:tcPr>
            <w:tcW w:type="dxa" w:w="5426"/>
          </w:tcPr>
          <w:p>
            <w:pPr>
              <w:spacing w:after="40" w:before="40"/>
            </w:pPr>
            <w:r>
              <w:rPr>
                <w:rFonts w:ascii="Calibri" w:cs="Calibri" w:eastAsia="Calibri" w:hAnsi="Calibri"/>
                <w:b w:val="false"/>
                <w:bCs w:val="false"/>
                <w:sz w:val="19"/>
                <w:szCs w:val="19"/>
              </w:rPr>
              <w:t xml:space="preserve">Restricts to certain materials. Left blank, every material with sales is included.</w:t>
            </w:r>
          </w:p>
        </w:tc>
      </w:tr>
      <w:tr>
        <w:tc>
          <w:tcPr>
            <w:tcW w:type="dxa" w:w="2200"/>
          </w:tcPr>
          <w:p>
            <w:pPr>
              <w:spacing w:after="40" w:before="40"/>
            </w:pPr>
            <w:r>
              <w:rPr>
                <w:rFonts w:ascii="Calibri" w:cs="Calibri" w:eastAsia="Calibri" w:hAnsi="Calibri"/>
                <w:b w:val="false"/>
                <w:bCs w:val="false"/>
                <w:sz w:val="19"/>
                <w:szCs w:val="19"/>
              </w:rPr>
              <w:t xml:space="preserve">Financial Year</w:t>
            </w:r>
          </w:p>
        </w:tc>
        <w:tc>
          <w:tcPr>
            <w:tcW w:type="dxa" w:w="1400"/>
          </w:tcPr>
          <w:p>
            <w:pPr>
              <w:spacing w:after="40" w:before="40"/>
            </w:pPr>
            <w:r>
              <w:rPr>
                <w:rFonts w:ascii="Calibri" w:cs="Calibri" w:eastAsia="Calibri" w:hAnsi="Calibri"/>
                <w:b w:val="false"/>
                <w:bCs w:val="false"/>
                <w:sz w:val="19"/>
                <w:szCs w:val="19"/>
              </w:rPr>
              <w:t xml:space="preserve">Yes</w:t>
            </w:r>
          </w:p>
        </w:tc>
        <w:tc>
          <w:tcPr>
            <w:tcW w:type="dxa" w:w="5426"/>
          </w:tcPr>
          <w:p>
            <w:pPr>
              <w:spacing w:after="40" w:before="40"/>
            </w:pPr>
            <w:r>
              <w:rPr>
                <w:rFonts w:ascii="Calibri" w:cs="Calibri" w:eastAsia="Calibri" w:hAnsi="Calibri"/>
                <w:b w:val="false"/>
                <w:bCs w:val="false"/>
                <w:sz w:val="19"/>
                <w:szCs w:val="19"/>
              </w:rPr>
              <w:t xml:space="preserve">The year being forecast, entered as 2026-2027.</w:t>
            </w:r>
          </w:p>
        </w:tc>
      </w:tr>
      <w:tr>
        <w:tc>
          <w:tcPr>
            <w:tcW w:type="dxa" w:w="2200"/>
          </w:tcPr>
          <w:p>
            <w:pPr>
              <w:spacing w:after="40" w:before="40"/>
            </w:pPr>
            <w:r>
              <w:rPr>
                <w:rFonts w:ascii="Calibri" w:cs="Calibri" w:eastAsia="Calibri" w:hAnsi="Calibri"/>
                <w:b w:val="false"/>
                <w:bCs w:val="false"/>
                <w:sz w:val="19"/>
                <w:szCs w:val="19"/>
              </w:rPr>
              <w:t xml:space="preserve">Tonnage Wise</w:t>
            </w:r>
          </w:p>
        </w:tc>
        <w:tc>
          <w:tcPr>
            <w:tcW w:type="dxa" w:w="1400"/>
          </w:tcPr>
          <w:p>
            <w:pPr>
              <w:spacing w:after="40" w:before="40"/>
            </w:pPr>
            <w:r>
              <w:rPr>
                <w:rFonts w:ascii="Calibri" w:cs="Calibri" w:eastAsia="Calibri" w:hAnsi="Calibri"/>
                <w:b w:val="false"/>
                <w:bCs w:val="false"/>
                <w:sz w:val="19"/>
                <w:szCs w:val="19"/>
              </w:rPr>
              <w:t xml:space="preserve">No</w:t>
            </w:r>
          </w:p>
        </w:tc>
        <w:tc>
          <w:tcPr>
            <w:tcW w:type="dxa" w:w="5426"/>
          </w:tcPr>
          <w:p>
            <w:pPr>
              <w:spacing w:after="40" w:before="40"/>
            </w:pPr>
            <w:r>
              <w:rPr>
                <w:rFonts w:ascii="Calibri" w:cs="Calibri" w:eastAsia="Calibri" w:hAnsi="Calibri"/>
                <w:b w:val="false"/>
                <w:bCs w:val="false"/>
                <w:sz w:val="19"/>
                <w:szCs w:val="19"/>
              </w:rPr>
              <w:t xml:space="preserve">Adds columns showing the forecast converted to weight, using the material net weight.</w:t>
            </w:r>
          </w:p>
        </w:tc>
      </w:tr>
      <w:tr>
        <w:tc>
          <w:tcPr>
            <w:tcW w:type="dxa" w:w="2200"/>
          </w:tcPr>
          <w:p>
            <w:pPr>
              <w:spacing w:after="40" w:before="40"/>
            </w:pPr>
            <w:r>
              <w:rPr>
                <w:rFonts w:ascii="Calibri" w:cs="Calibri" w:eastAsia="Calibri" w:hAnsi="Calibri"/>
                <w:b w:val="false"/>
                <w:bCs w:val="false"/>
                <w:sz w:val="19"/>
                <w:szCs w:val="19"/>
              </w:rPr>
              <w:t xml:space="preserve">Legacy Data</w:t>
            </w:r>
          </w:p>
        </w:tc>
        <w:tc>
          <w:tcPr>
            <w:tcW w:type="dxa" w:w="1400"/>
          </w:tcPr>
          <w:p>
            <w:pPr>
              <w:spacing w:after="40" w:before="40"/>
            </w:pPr>
            <w:r>
              <w:rPr>
                <w:rFonts w:ascii="Calibri" w:cs="Calibri" w:eastAsia="Calibri" w:hAnsi="Calibri"/>
                <w:b w:val="false"/>
                <w:bCs w:val="false"/>
                <w:sz w:val="19"/>
                <w:szCs w:val="19"/>
              </w:rPr>
              <w:t xml:space="preserve">No</w:t>
            </w:r>
          </w:p>
        </w:tc>
        <w:tc>
          <w:tcPr>
            <w:tcW w:type="dxa" w:w="5426"/>
          </w:tcPr>
          <w:p>
            <w:pPr>
              <w:spacing w:after="40" w:before="40"/>
            </w:pPr>
            <w:r>
              <w:rPr>
                <w:rFonts w:ascii="Calibri" w:cs="Calibri" w:eastAsia="Calibri" w:hAnsi="Calibri"/>
                <w:b w:val="false"/>
                <w:bCs w:val="false"/>
                <w:sz w:val="19"/>
                <w:szCs w:val="19"/>
              </w:rPr>
              <w:t xml:space="preserve">Reads sales history from the uploaded history table instead of from invoices. Restricted to nominated users.</w:t>
            </w:r>
          </w:p>
        </w:tc>
      </w:tr>
    </w:tbl>
    <w:p>
      <w:pPr>
        <w:pStyle w:val="Heading1"/>
        <w:spacing w:after="120" w:before="280"/>
      </w:pPr>
      <w:r>
        <w:rPr>
          <w:rFonts w:ascii="Calibri" w:cs="Calibri" w:eastAsia="Calibri" w:hAnsi="Calibri"/>
          <w:b/>
          <w:bCs/>
          <w:color w:val="1F3864"/>
          <w:sz w:val="26"/>
          <w:szCs w:val="26"/>
        </w:rPr>
        <w:t xml:space="preserve">3.  Which year is used as history</w:t>
      </w:r>
    </w:p>
    <w:p>
      <w:pPr>
        <w:spacing w:after="60" w:before="60"/>
      </w:pPr>
      <w:r>
        <w:rPr>
          <w:rFonts w:ascii="Calibri" w:cs="Calibri" w:eastAsia="Calibri" w:hAnsi="Calibri"/>
          <w:b w:val="false"/>
          <w:bCs w:val="false"/>
          <w:i w:val="false"/>
          <w:iCs w:val="false"/>
          <w:sz w:val="20"/>
          <w:szCs w:val="20"/>
        </w:rPr>
        <w:t xml:space="preserve">Entering financial year 2026-2027 means:</w:t>
      </w:r>
    </w:p>
    <w:p>
      <w:pPr>
        <w:pStyle w:val="ListParagraph"/>
        <w:numPr>
          <w:ilvl w:val="0"/>
          <w:numId w:val="1"/>
        </w:numPr>
        <w:spacing w:after="40" w:before="40"/>
      </w:pPr>
      <w:r>
        <w:rPr>
          <w:rFonts w:ascii="Calibri" w:cs="Calibri" w:eastAsia="Calibri" w:hAnsi="Calibri"/>
          <w:sz w:val="20"/>
          <w:szCs w:val="20"/>
        </w:rPr>
        <w:t xml:space="preserve">Sales are read from 1 April 2025 to 31 March 2026 — the PREVIOUS financial year</w:t>
      </w:r>
    </w:p>
    <w:p>
      <w:pPr>
        <w:pStyle w:val="ListParagraph"/>
        <w:numPr>
          <w:ilvl w:val="0"/>
          <w:numId w:val="1"/>
        </w:numPr>
        <w:spacing w:after="40" w:before="40"/>
      </w:pPr>
      <w:r>
        <w:rPr>
          <w:rFonts w:ascii="Calibri" w:cs="Calibri" w:eastAsia="Calibri" w:hAnsi="Calibri"/>
          <w:sz w:val="20"/>
          <w:szCs w:val="20"/>
        </w:rPr>
        <w:t xml:space="preserve">The forecast produced is for April 2026 to March 2027</w:t>
      </w:r>
    </w:p>
    <w:p>
      <w:pPr>
        <w:spacing w:after="60" w:before="60"/>
      </w:pPr>
      <w:r>
        <w:rPr>
          <w:rFonts w:ascii="Calibri" w:cs="Calibri" w:eastAsia="Calibri" w:hAnsi="Calibri"/>
          <w:b w:val="false"/>
          <w:bCs w:val="false"/>
          <w:i w:val="false"/>
          <w:iCs w:val="false"/>
          <w:sz w:val="20"/>
          <w:szCs w:val="20"/>
        </w:rPr>
        <w:t xml:space="preserve">Months run April first throughout. Month 1 is April, month 9 is December, month 12 is March.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760"/>
        <w:gridCol w:w="760"/>
        <w:gridCol w:w="760"/>
        <w:gridCol w:w="760"/>
        <w:gridCol w:w="760"/>
        <w:gridCol w:w="760"/>
        <w:gridCol w:w="760"/>
        <w:gridCol w:w="760"/>
        <w:gridCol w:w="760"/>
        <w:gridCol w:w="760"/>
        <w:gridCol w:w="760"/>
      </w:tblGrid>
      <w:tr>
        <w:trPr>
          <w:tblHeader/>
        </w:trPr>
        <w:tc>
          <w:tcPr>
            <w:tcW w:type="dxa" w:w="760"/>
            <w:shd w:fill="D9D9D9" w:color="auto" w:val="clear"/>
          </w:tcPr>
          <w:p>
            <w:pPr>
              <w:spacing w:after="40" w:before="40"/>
            </w:pPr>
            <w:r>
              <w:rPr>
                <w:rFonts w:ascii="Calibri" w:cs="Calibri" w:eastAsia="Calibri" w:hAnsi="Calibri"/>
                <w:b/>
                <w:bCs/>
                <w:sz w:val="19"/>
                <w:szCs w:val="19"/>
              </w:rPr>
              <w:t xml:space="preserve">M1</w:t>
            </w:r>
          </w:p>
        </w:tc>
        <w:tc>
          <w:tcPr>
            <w:tcW w:type="dxa" w:w="760"/>
            <w:shd w:fill="D9D9D9" w:color="auto" w:val="clear"/>
          </w:tcPr>
          <w:p>
            <w:pPr>
              <w:spacing w:after="40" w:before="40"/>
            </w:pPr>
            <w:r>
              <w:rPr>
                <w:rFonts w:ascii="Calibri" w:cs="Calibri" w:eastAsia="Calibri" w:hAnsi="Calibri"/>
                <w:b/>
                <w:bCs/>
                <w:sz w:val="19"/>
                <w:szCs w:val="19"/>
              </w:rPr>
              <w:t xml:space="preserve">M2</w:t>
            </w:r>
          </w:p>
        </w:tc>
        <w:tc>
          <w:tcPr>
            <w:tcW w:type="dxa" w:w="760"/>
            <w:shd w:fill="D9D9D9" w:color="auto" w:val="clear"/>
          </w:tcPr>
          <w:p>
            <w:pPr>
              <w:spacing w:after="40" w:before="40"/>
            </w:pPr>
            <w:r>
              <w:rPr>
                <w:rFonts w:ascii="Calibri" w:cs="Calibri" w:eastAsia="Calibri" w:hAnsi="Calibri"/>
                <w:b/>
                <w:bCs/>
                <w:sz w:val="19"/>
                <w:szCs w:val="19"/>
              </w:rPr>
              <w:t xml:space="preserve">M3</w:t>
            </w:r>
          </w:p>
        </w:tc>
        <w:tc>
          <w:tcPr>
            <w:tcW w:type="dxa" w:w="760"/>
            <w:shd w:fill="D9D9D9" w:color="auto" w:val="clear"/>
          </w:tcPr>
          <w:p>
            <w:pPr>
              <w:spacing w:after="40" w:before="40"/>
            </w:pPr>
            <w:r>
              <w:rPr>
                <w:rFonts w:ascii="Calibri" w:cs="Calibri" w:eastAsia="Calibri" w:hAnsi="Calibri"/>
                <w:b/>
                <w:bCs/>
                <w:sz w:val="19"/>
                <w:szCs w:val="19"/>
              </w:rPr>
              <w:t xml:space="preserve">M4</w:t>
            </w:r>
          </w:p>
        </w:tc>
        <w:tc>
          <w:tcPr>
            <w:tcW w:type="dxa" w:w="760"/>
            <w:shd w:fill="D9D9D9" w:color="auto" w:val="clear"/>
          </w:tcPr>
          <w:p>
            <w:pPr>
              <w:spacing w:after="40" w:before="40"/>
            </w:pPr>
            <w:r>
              <w:rPr>
                <w:rFonts w:ascii="Calibri" w:cs="Calibri" w:eastAsia="Calibri" w:hAnsi="Calibri"/>
                <w:b/>
                <w:bCs/>
                <w:sz w:val="19"/>
                <w:szCs w:val="19"/>
              </w:rPr>
              <w:t xml:space="preserve">M5</w:t>
            </w:r>
          </w:p>
        </w:tc>
        <w:tc>
          <w:tcPr>
            <w:tcW w:type="dxa" w:w="760"/>
            <w:shd w:fill="D9D9D9" w:color="auto" w:val="clear"/>
          </w:tcPr>
          <w:p>
            <w:pPr>
              <w:spacing w:after="40" w:before="40"/>
            </w:pPr>
            <w:r>
              <w:rPr>
                <w:rFonts w:ascii="Calibri" w:cs="Calibri" w:eastAsia="Calibri" w:hAnsi="Calibri"/>
                <w:b/>
                <w:bCs/>
                <w:sz w:val="19"/>
                <w:szCs w:val="19"/>
              </w:rPr>
              <w:t xml:space="preserve">M6</w:t>
            </w:r>
          </w:p>
        </w:tc>
        <w:tc>
          <w:tcPr>
            <w:tcW w:type="dxa" w:w="760"/>
            <w:shd w:fill="D9D9D9" w:color="auto" w:val="clear"/>
          </w:tcPr>
          <w:p>
            <w:pPr>
              <w:spacing w:after="40" w:before="40"/>
            </w:pPr>
            <w:r>
              <w:rPr>
                <w:rFonts w:ascii="Calibri" w:cs="Calibri" w:eastAsia="Calibri" w:hAnsi="Calibri"/>
                <w:b/>
                <w:bCs/>
                <w:sz w:val="19"/>
                <w:szCs w:val="19"/>
              </w:rPr>
              <w:t xml:space="preserve">M7</w:t>
            </w:r>
          </w:p>
        </w:tc>
        <w:tc>
          <w:tcPr>
            <w:tcW w:type="dxa" w:w="760"/>
            <w:shd w:fill="D9D9D9" w:color="auto" w:val="clear"/>
          </w:tcPr>
          <w:p>
            <w:pPr>
              <w:spacing w:after="40" w:before="40"/>
            </w:pPr>
            <w:r>
              <w:rPr>
                <w:rFonts w:ascii="Calibri" w:cs="Calibri" w:eastAsia="Calibri" w:hAnsi="Calibri"/>
                <w:b/>
                <w:bCs/>
                <w:sz w:val="19"/>
                <w:szCs w:val="19"/>
              </w:rPr>
              <w:t xml:space="preserve">M8</w:t>
            </w:r>
          </w:p>
        </w:tc>
        <w:tc>
          <w:tcPr>
            <w:tcW w:type="dxa" w:w="760"/>
            <w:shd w:fill="D9D9D9" w:color="auto" w:val="clear"/>
          </w:tcPr>
          <w:p>
            <w:pPr>
              <w:spacing w:after="40" w:before="40"/>
            </w:pPr>
            <w:r>
              <w:rPr>
                <w:rFonts w:ascii="Calibri" w:cs="Calibri" w:eastAsia="Calibri" w:hAnsi="Calibri"/>
                <w:b/>
                <w:bCs/>
                <w:sz w:val="19"/>
                <w:szCs w:val="19"/>
              </w:rPr>
              <w:t xml:space="preserve">M9</w:t>
            </w:r>
          </w:p>
        </w:tc>
        <w:tc>
          <w:tcPr>
            <w:tcW w:type="dxa" w:w="760"/>
            <w:shd w:fill="D9D9D9" w:color="auto" w:val="clear"/>
          </w:tcPr>
          <w:p>
            <w:pPr>
              <w:spacing w:after="40" w:before="40"/>
            </w:pPr>
            <w:r>
              <w:rPr>
                <w:rFonts w:ascii="Calibri" w:cs="Calibri" w:eastAsia="Calibri" w:hAnsi="Calibri"/>
                <w:b/>
                <w:bCs/>
                <w:sz w:val="19"/>
                <w:szCs w:val="19"/>
              </w:rPr>
              <w:t xml:space="preserve">M10</w:t>
            </w:r>
          </w:p>
        </w:tc>
        <w:tc>
          <w:tcPr>
            <w:tcW w:type="dxa" w:w="760"/>
            <w:shd w:fill="D9D9D9" w:color="auto" w:val="clear"/>
          </w:tcPr>
          <w:p>
            <w:pPr>
              <w:spacing w:after="40" w:before="40"/>
            </w:pPr>
            <w:r>
              <w:rPr>
                <w:rFonts w:ascii="Calibri" w:cs="Calibri" w:eastAsia="Calibri" w:hAnsi="Calibri"/>
                <w:b/>
                <w:bCs/>
                <w:sz w:val="19"/>
                <w:szCs w:val="19"/>
              </w:rPr>
              <w:t xml:space="preserve">M11</w:t>
            </w:r>
          </w:p>
        </w:tc>
        <w:tc>
          <w:tcPr>
            <w:tcW w:type="dxa" w:w="760"/>
            <w:shd w:fill="D9D9D9" w:color="auto" w:val="clear"/>
          </w:tcPr>
          <w:p>
            <w:pPr>
              <w:spacing w:after="40" w:before="40"/>
            </w:pPr>
            <w:r>
              <w:rPr>
                <w:rFonts w:ascii="Calibri" w:cs="Calibri" w:eastAsia="Calibri" w:hAnsi="Calibri"/>
                <w:b/>
                <w:bCs/>
                <w:sz w:val="19"/>
                <w:szCs w:val="19"/>
              </w:rPr>
              <w:t xml:space="preserve">M12</w:t>
            </w:r>
          </w:p>
        </w:tc>
      </w:tr>
      <w:tr>
        <w:tc>
          <w:tcPr>
            <w:tcW w:type="dxa" w:w="760"/>
          </w:tcPr>
          <w:p>
            <w:pPr>
              <w:spacing w:after="40" w:before="40"/>
            </w:pPr>
            <w:r>
              <w:rPr>
                <w:rFonts w:ascii="Calibri" w:cs="Calibri" w:eastAsia="Calibri" w:hAnsi="Calibri"/>
                <w:b w:val="false"/>
                <w:bCs w:val="false"/>
                <w:sz w:val="19"/>
                <w:szCs w:val="19"/>
              </w:rPr>
              <w:t xml:space="preserve">Apr</w:t>
            </w:r>
          </w:p>
        </w:tc>
        <w:tc>
          <w:tcPr>
            <w:tcW w:type="dxa" w:w="760"/>
          </w:tcPr>
          <w:p>
            <w:pPr>
              <w:spacing w:after="40" w:before="40"/>
            </w:pPr>
            <w:r>
              <w:rPr>
                <w:rFonts w:ascii="Calibri" w:cs="Calibri" w:eastAsia="Calibri" w:hAnsi="Calibri"/>
                <w:b w:val="false"/>
                <w:bCs w:val="false"/>
                <w:sz w:val="19"/>
                <w:szCs w:val="19"/>
              </w:rPr>
              <w:t xml:space="preserve">May</w:t>
            </w:r>
          </w:p>
        </w:tc>
        <w:tc>
          <w:tcPr>
            <w:tcW w:type="dxa" w:w="760"/>
          </w:tcPr>
          <w:p>
            <w:pPr>
              <w:spacing w:after="40" w:before="40"/>
            </w:pPr>
            <w:r>
              <w:rPr>
                <w:rFonts w:ascii="Calibri" w:cs="Calibri" w:eastAsia="Calibri" w:hAnsi="Calibri"/>
                <w:b w:val="false"/>
                <w:bCs w:val="false"/>
                <w:sz w:val="19"/>
                <w:szCs w:val="19"/>
              </w:rPr>
              <w:t xml:space="preserve">Jun</w:t>
            </w:r>
          </w:p>
        </w:tc>
        <w:tc>
          <w:tcPr>
            <w:tcW w:type="dxa" w:w="760"/>
          </w:tcPr>
          <w:p>
            <w:pPr>
              <w:spacing w:after="40" w:before="40"/>
            </w:pPr>
            <w:r>
              <w:rPr>
                <w:rFonts w:ascii="Calibri" w:cs="Calibri" w:eastAsia="Calibri" w:hAnsi="Calibri"/>
                <w:b w:val="false"/>
                <w:bCs w:val="false"/>
                <w:sz w:val="19"/>
                <w:szCs w:val="19"/>
              </w:rPr>
              <w:t xml:space="preserve">Jul</w:t>
            </w:r>
          </w:p>
        </w:tc>
        <w:tc>
          <w:tcPr>
            <w:tcW w:type="dxa" w:w="760"/>
          </w:tcPr>
          <w:p>
            <w:pPr>
              <w:spacing w:after="40" w:before="40"/>
            </w:pPr>
            <w:r>
              <w:rPr>
                <w:rFonts w:ascii="Calibri" w:cs="Calibri" w:eastAsia="Calibri" w:hAnsi="Calibri"/>
                <w:b w:val="false"/>
                <w:bCs w:val="false"/>
                <w:sz w:val="19"/>
                <w:szCs w:val="19"/>
              </w:rPr>
              <w:t xml:space="preserve">Aug</w:t>
            </w:r>
          </w:p>
        </w:tc>
        <w:tc>
          <w:tcPr>
            <w:tcW w:type="dxa" w:w="760"/>
          </w:tcPr>
          <w:p>
            <w:pPr>
              <w:spacing w:after="40" w:before="40"/>
            </w:pPr>
            <w:r>
              <w:rPr>
                <w:rFonts w:ascii="Calibri" w:cs="Calibri" w:eastAsia="Calibri" w:hAnsi="Calibri"/>
                <w:b w:val="false"/>
                <w:bCs w:val="false"/>
                <w:sz w:val="19"/>
                <w:szCs w:val="19"/>
              </w:rPr>
              <w:t xml:space="preserve">Sep</w:t>
            </w:r>
          </w:p>
        </w:tc>
        <w:tc>
          <w:tcPr>
            <w:tcW w:type="dxa" w:w="760"/>
          </w:tcPr>
          <w:p>
            <w:pPr>
              <w:spacing w:after="40" w:before="40"/>
            </w:pPr>
            <w:r>
              <w:rPr>
                <w:rFonts w:ascii="Calibri" w:cs="Calibri" w:eastAsia="Calibri" w:hAnsi="Calibri"/>
                <w:b w:val="false"/>
                <w:bCs w:val="false"/>
                <w:sz w:val="19"/>
                <w:szCs w:val="19"/>
              </w:rPr>
              <w:t xml:space="preserve">Oct</w:t>
            </w:r>
          </w:p>
        </w:tc>
        <w:tc>
          <w:tcPr>
            <w:tcW w:type="dxa" w:w="760"/>
          </w:tcPr>
          <w:p>
            <w:pPr>
              <w:spacing w:after="40" w:before="40"/>
            </w:pPr>
            <w:r>
              <w:rPr>
                <w:rFonts w:ascii="Calibri" w:cs="Calibri" w:eastAsia="Calibri" w:hAnsi="Calibri"/>
                <w:b w:val="false"/>
                <w:bCs w:val="false"/>
                <w:sz w:val="19"/>
                <w:szCs w:val="19"/>
              </w:rPr>
              <w:t xml:space="preserve">Nov</w:t>
            </w:r>
          </w:p>
        </w:tc>
        <w:tc>
          <w:tcPr>
            <w:tcW w:type="dxa" w:w="760"/>
          </w:tcPr>
          <w:p>
            <w:pPr>
              <w:spacing w:after="40" w:before="40"/>
            </w:pPr>
            <w:r>
              <w:rPr>
                <w:rFonts w:ascii="Calibri" w:cs="Calibri" w:eastAsia="Calibri" w:hAnsi="Calibri"/>
                <w:b w:val="false"/>
                <w:bCs w:val="false"/>
                <w:sz w:val="19"/>
                <w:szCs w:val="19"/>
              </w:rPr>
              <w:t xml:space="preserve">Dec</w:t>
            </w:r>
          </w:p>
        </w:tc>
        <w:tc>
          <w:tcPr>
            <w:tcW w:type="dxa" w:w="760"/>
          </w:tcPr>
          <w:p>
            <w:pPr>
              <w:spacing w:after="40" w:before="40"/>
            </w:pPr>
            <w:r>
              <w:rPr>
                <w:rFonts w:ascii="Calibri" w:cs="Calibri" w:eastAsia="Calibri" w:hAnsi="Calibri"/>
                <w:b w:val="false"/>
                <w:bCs w:val="false"/>
                <w:sz w:val="19"/>
                <w:szCs w:val="19"/>
              </w:rPr>
              <w:t xml:space="preserve">Jan</w:t>
            </w:r>
          </w:p>
        </w:tc>
        <w:tc>
          <w:tcPr>
            <w:tcW w:type="dxa" w:w="760"/>
          </w:tcPr>
          <w:p>
            <w:pPr>
              <w:spacing w:after="40" w:before="40"/>
            </w:pPr>
            <w:r>
              <w:rPr>
                <w:rFonts w:ascii="Calibri" w:cs="Calibri" w:eastAsia="Calibri" w:hAnsi="Calibri"/>
                <w:b w:val="false"/>
                <w:bCs w:val="false"/>
                <w:sz w:val="19"/>
                <w:szCs w:val="19"/>
              </w:rPr>
              <w:t xml:space="preserve">Feb</w:t>
            </w:r>
          </w:p>
        </w:tc>
        <w:tc>
          <w:tcPr>
            <w:tcW w:type="dxa" w:w="760"/>
          </w:tcPr>
          <w:p>
            <w:pPr>
              <w:spacing w:after="40" w:before="40"/>
            </w:pPr>
            <w:r>
              <w:rPr>
                <w:rFonts w:ascii="Calibri" w:cs="Calibri" w:eastAsia="Calibri" w:hAnsi="Calibri"/>
                <w:b w:val="false"/>
                <w:bCs w:val="false"/>
                <w:sz w:val="19"/>
                <w:szCs w:val="19"/>
              </w:rPr>
              <w:t xml:space="preserve">Mar</w:t>
            </w:r>
          </w:p>
        </w:tc>
      </w:tr>
    </w:tbl>
    <w:p>
      <w:pPr>
        <w:pStyle w:val="Heading1"/>
        <w:spacing w:after="120" w:before="280"/>
      </w:pPr>
      <w:r>
        <w:rPr>
          <w:rFonts w:ascii="Calibri" w:cs="Calibri" w:eastAsia="Calibri" w:hAnsi="Calibri"/>
          <w:b/>
          <w:bCs/>
          <w:color w:val="1F3864"/>
          <w:sz w:val="26"/>
          <w:szCs w:val="26"/>
        </w:rPr>
        <w:t xml:space="preserve">4.  Where the sales figures come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Pr>
          <w:p>
            <w:pPr>
              <w:spacing w:after="40" w:before="40"/>
            </w:pPr>
            <w:r>
              <w:rPr>
                <w:rFonts w:ascii="Calibri" w:cs="Calibri" w:eastAsia="Calibri" w:hAnsi="Calibri"/>
                <w:b/>
                <w:bCs/>
                <w:sz w:val="19"/>
                <w:szCs w:val="19"/>
              </w:rPr>
              <w:t xml:space="preserve">Legacy Data box</w:t>
            </w:r>
          </w:p>
        </w:tc>
        <w:tc>
          <w:tcPr>
            <w:tcW w:type="dxa" w:w="6426"/>
            <w:shd w:fill="D9D9D9" w:color="auto" w:val="clear"/>
          </w:tcPr>
          <w:p>
            <w:pPr>
              <w:spacing w:after="40" w:before="40"/>
            </w:pPr>
            <w:r>
              <w:rPr>
                <w:rFonts w:ascii="Calibri" w:cs="Calibri" w:eastAsia="Calibri" w:hAnsi="Calibri"/>
                <w:b/>
                <w:bCs/>
                <w:sz w:val="19"/>
                <w:szCs w:val="19"/>
              </w:rPr>
              <w:t xml:space="preserve">Source of the twelve history figures</w:t>
            </w:r>
          </w:p>
        </w:tc>
      </w:tr>
      <w:tr>
        <w:tc>
          <w:tcPr>
            <w:tcW w:type="dxa" w:w="2600"/>
          </w:tcPr>
          <w:p>
            <w:pPr>
              <w:spacing w:after="40" w:before="40"/>
            </w:pPr>
            <w:r>
              <w:rPr>
                <w:rFonts w:ascii="Calibri" w:cs="Calibri" w:eastAsia="Calibri" w:hAnsi="Calibri"/>
                <w:b w:val="false"/>
                <w:bCs w:val="false"/>
                <w:sz w:val="19"/>
                <w:szCs w:val="19"/>
              </w:rPr>
              <w:t xml:space="preserve">Not ticked</w:t>
            </w:r>
          </w:p>
        </w:tc>
        <w:tc>
          <w:tcPr>
            <w:tcW w:type="dxa" w:w="6426"/>
          </w:tcPr>
          <w:p>
            <w:pPr>
              <w:spacing w:after="40" w:before="40"/>
            </w:pPr>
            <w:r>
              <w:rPr>
                <w:rFonts w:ascii="Calibri" w:cs="Calibri" w:eastAsia="Calibri" w:hAnsi="Calibri"/>
                <w:b w:val="false"/>
                <w:bCs w:val="false"/>
                <w:sz w:val="19"/>
                <w:szCs w:val="19"/>
              </w:rPr>
              <w:t xml:space="preserve">Billing documents in SAP. The billed quantity on each invoice line is summed by material and month.</w:t>
            </w:r>
          </w:p>
        </w:tc>
      </w:tr>
      <w:tr>
        <w:tc>
          <w:tcPr>
            <w:tcW w:type="dxa" w:w="2600"/>
          </w:tcPr>
          <w:p>
            <w:pPr>
              <w:spacing w:after="40" w:before="40"/>
            </w:pPr>
            <w:r>
              <w:rPr>
                <w:rFonts w:ascii="Calibri" w:cs="Calibri" w:eastAsia="Calibri" w:hAnsi="Calibri"/>
                <w:b w:val="false"/>
                <w:bCs w:val="false"/>
                <w:sz w:val="19"/>
                <w:szCs w:val="19"/>
              </w:rPr>
              <w:t xml:space="preserve">Ticked</w:t>
            </w:r>
          </w:p>
        </w:tc>
        <w:tc>
          <w:tcPr>
            <w:tcW w:type="dxa" w:w="6426"/>
          </w:tcPr>
          <w:p>
            <w:pPr>
              <w:spacing w:after="40" w:before="40"/>
            </w:pPr>
            <w:r>
              <w:rPr>
                <w:rFonts w:ascii="Calibri" w:cs="Calibri" w:eastAsia="Calibri" w:hAnsi="Calibri"/>
                <w:b w:val="false"/>
                <w:bCs w:val="false"/>
                <w:sz w:val="19"/>
                <w:szCs w:val="19"/>
              </w:rPr>
              <w:t xml:space="preserve">The uploaded sales history table. The twelve monthly figures are taken directly from the uploaded row.</w:t>
            </w:r>
          </w:p>
        </w:tc>
      </w:tr>
    </w:tbl>
    <w:p>
      <w:pPr>
        <w:spacing w:after="60" w:before="60"/>
      </w:pPr>
      <w:r>
        <w:rPr>
          <w:rFonts w:ascii="Calibri" w:cs="Calibri" w:eastAsia="Calibri" w:hAnsi="Calibri"/>
          <w:b w:val="false"/>
          <w:bCs w:val="false"/>
          <w:i w:val="false"/>
          <w:iCs w:val="false"/>
          <w:sz w:val="20"/>
          <w:szCs w:val="20"/>
        </w:rPr>
        <w:t xml:space="preserve">These are alternatives, not a combination. With the box ticked no invoices are read at all, and vice versa.</w:t>
      </w:r>
    </w:p>
    <w:p>
      <w:pPr>
        <w:pStyle w:val="Heading1"/>
        <w:spacing w:after="120" w:before="280"/>
      </w:pPr>
      <w:r>
        <w:rPr>
          <w:rFonts w:ascii="Calibri" w:cs="Calibri" w:eastAsia="Calibri" w:hAnsi="Calibri"/>
          <w:b/>
          <w:bCs/>
          <w:color w:val="1F3864"/>
          <w:sz w:val="26"/>
          <w:szCs w:val="26"/>
        </w:rPr>
        <w:t xml:space="preserve">5.  Which invoices are counted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shd w:fill="D9D9D9" w:color="auto" w:val="clear"/>
          </w:tcPr>
          <w:p>
            <w:pPr>
              <w:spacing w:after="40" w:before="40"/>
            </w:pPr>
            <w:r>
              <w:rPr>
                <w:rFonts w:ascii="Calibri" w:cs="Calibri" w:eastAsia="Calibri" w:hAnsi="Calibri"/>
                <w:b/>
                <w:bCs/>
                <w:sz w:val="19"/>
                <w:szCs w:val="19"/>
              </w:rPr>
              <w:t xml:space="preserve">Included</w:t>
            </w:r>
          </w:p>
        </w:tc>
        <w:tc>
          <w:tcPr>
            <w:tcW w:type="dxa" w:w="4626"/>
            <w:shd w:fill="D9D9D9" w:color="auto" w:val="clear"/>
          </w:tcPr>
          <w:p>
            <w:pPr>
              <w:spacing w:after="40" w:before="40"/>
            </w:pPr>
            <w:r>
              <w:rPr>
                <w:rFonts w:ascii="Calibri" w:cs="Calibri" w:eastAsia="Calibri" w:hAnsi="Calibri"/>
                <w:b/>
                <w:bCs/>
                <w:sz w:val="19"/>
                <w:szCs w:val="19"/>
              </w:rPr>
              <w:t xml:space="preserve">Excluded</w:t>
            </w:r>
          </w:p>
        </w:tc>
      </w:tr>
      <w:tr>
        <w:tc>
          <w:tcPr>
            <w:tcW w:type="dxa" w:w="4400"/>
          </w:tcPr>
          <w:p>
            <w:pPr>
              <w:spacing w:after="40" w:before="40"/>
            </w:pPr>
            <w:r>
              <w:rPr>
                <w:rFonts w:ascii="Calibri" w:cs="Calibri" w:eastAsia="Calibri" w:hAnsi="Calibri"/>
                <w:b w:val="false"/>
                <w:bCs w:val="false"/>
                <w:sz w:val="19"/>
                <w:szCs w:val="19"/>
              </w:rPr>
              <w:t xml:space="preserve">Normal sales invoices for the selected plant</w:t>
            </w:r>
          </w:p>
        </w:tc>
        <w:tc>
          <w:tcPr>
            <w:tcW w:type="dxa" w:w="4626"/>
          </w:tcPr>
          <w:p>
            <w:pPr>
              <w:spacing w:after="40" w:before="40"/>
            </w:pPr>
            <w:r>
              <w:rPr>
                <w:rFonts w:ascii="Calibri" w:cs="Calibri" w:eastAsia="Calibri" w:hAnsi="Calibri"/>
                <w:b w:val="false"/>
                <w:bCs w:val="false"/>
                <w:sz w:val="19"/>
                <w:szCs w:val="19"/>
              </w:rPr>
              <w:t xml:space="preserve">Returns</w:t>
            </w:r>
          </w:p>
        </w:tc>
      </w:tr>
      <w:tr>
        <w:tc>
          <w:tcPr>
            <w:tcW w:type="dxa" w:w="4400"/>
          </w:tcPr>
          <w:p>
            <w:pPr>
              <w:spacing w:after="40" w:before="40"/>
            </w:pPr>
            <w:r>
              <w:rPr>
                <w:rFonts w:ascii="Calibri" w:cs="Calibri" w:eastAsia="Calibri" w:hAnsi="Calibri"/>
                <w:b w:val="false"/>
                <w:bCs w:val="false"/>
                <w:sz w:val="19"/>
                <w:szCs w:val="19"/>
              </w:rPr>
              <w:t xml:space="preserve">Billing date inside the history year</w:t>
            </w:r>
          </w:p>
        </w:tc>
        <w:tc>
          <w:tcPr>
            <w:tcW w:type="dxa" w:w="4626"/>
          </w:tcPr>
          <w:p>
            <w:pPr>
              <w:spacing w:after="40" w:before="40"/>
            </w:pPr>
            <w:r>
              <w:rPr>
                <w:rFonts w:ascii="Calibri" w:cs="Calibri" w:eastAsia="Calibri" w:hAnsi="Calibri"/>
                <w:b w:val="false"/>
                <w:bCs w:val="false"/>
                <w:sz w:val="19"/>
                <w:szCs w:val="19"/>
              </w:rPr>
              <w:t xml:space="preserve">Cancelled invoices</w:t>
            </w:r>
          </w:p>
        </w:tc>
      </w:tr>
      <w:tr>
        <w:tc>
          <w:tcPr>
            <w:tcW w:type="dxa" w:w="4400"/>
          </w:tcPr>
          <w:p>
            <w:pPr>
              <w:spacing w:after="40" w:before="40"/>
            </w:pPr>
            <w:r>
              <w:rPr>
                <w:rFonts w:ascii="Calibri" w:cs="Calibri" w:eastAsia="Calibri" w:hAnsi="Calibri"/>
                <w:b w:val="false"/>
                <w:bCs w:val="false"/>
                <w:sz w:val="19"/>
                <w:szCs w:val="19"/>
              </w:rPr>
              <w:t xml:space="preserve">Any billing type</w:t>
            </w:r>
          </w:p>
        </w:tc>
        <w:tc>
          <w:tcPr>
            <w:tcW w:type="dxa" w:w="4626"/>
          </w:tcPr>
          <w:p>
            <w:pPr>
              <w:spacing w:after="40" w:before="40"/>
            </w:pPr>
            <w:r>
              <w:rPr>
                <w:rFonts w:ascii="Calibri" w:cs="Calibri" w:eastAsia="Calibri" w:hAnsi="Calibri"/>
                <w:b w:val="false"/>
                <w:bCs w:val="false"/>
                <w:sz w:val="19"/>
                <w:szCs w:val="19"/>
              </w:rPr>
              <w:t xml:space="preserve">Pro-forma invoices</w:t>
            </w:r>
          </w:p>
        </w:tc>
      </w:tr>
    </w:tbl>
    <w:p>
      <w:pPr>
        <w:spacing w:after="60" w:before="60"/>
      </w:pPr>
      <w:r>
        <w:rPr>
          <w:rFonts w:ascii="Calibri" w:cs="Calibri" w:eastAsia="Calibri" w:hAnsi="Calibri"/>
          <w:b/>
          <w:bCs/>
          <w:i w:val="false"/>
          <w:iCs w:val="false"/>
          <w:sz w:val="20"/>
          <w:szCs w:val="20"/>
        </w:rPr>
        <w:t xml:space="preserve">Point for confirmation: the FS states returns should be the only thing included. That has been built the other way round — returns excluded, normal sales included. See section 10.</w:t>
      </w:r>
    </w:p>
    <w:p>
      <w:pPr>
        <w:pStyle w:val="Heading1"/>
        <w:spacing w:after="120" w:before="280"/>
      </w:pPr>
      <w:r>
        <w:rPr>
          <w:rFonts w:ascii="Calibri" w:cs="Calibri" w:eastAsia="Calibri" w:hAnsi="Calibri"/>
          <w:b/>
          <w:bCs/>
          <w:color w:val="1F3864"/>
          <w:sz w:val="26"/>
          <w:szCs w:val="26"/>
        </w:rPr>
        <w:t xml:space="preserve">6.  Which materials appear on the report</w:t>
      </w:r>
    </w:p>
    <w:p>
      <w:pPr>
        <w:spacing w:after="60" w:before="60"/>
      </w:pPr>
      <w:r>
        <w:rPr>
          <w:rFonts w:ascii="Calibri" w:cs="Calibri" w:eastAsia="Calibri" w:hAnsi="Calibri"/>
          <w:b w:val="false"/>
          <w:bCs w:val="false"/>
          <w:i w:val="false"/>
          <w:iCs w:val="false"/>
          <w:sz w:val="20"/>
          <w:szCs w:val="20"/>
        </w:rPr>
        <w:t xml:space="preserve">A material is listed if either of these is true:</w:t>
      </w:r>
    </w:p>
    <w:p>
      <w:pPr>
        <w:pStyle w:val="ListParagraph"/>
        <w:numPr>
          <w:ilvl w:val="0"/>
          <w:numId w:val="1"/>
        </w:numPr>
        <w:spacing w:after="40" w:before="40"/>
      </w:pPr>
      <w:r>
        <w:rPr>
          <w:rFonts w:ascii="Calibri" w:cs="Calibri" w:eastAsia="Calibri" w:hAnsi="Calibri"/>
          <w:sz w:val="20"/>
          <w:szCs w:val="20"/>
        </w:rPr>
        <w:t xml:space="preserve">It had any sales in the history year, or</w:t>
      </w:r>
    </w:p>
    <w:p>
      <w:pPr>
        <w:pStyle w:val="ListParagraph"/>
        <w:numPr>
          <w:ilvl w:val="0"/>
          <w:numId w:val="1"/>
        </w:numPr>
        <w:spacing w:after="40" w:before="40"/>
      </w:pPr>
      <w:r>
        <w:rPr>
          <w:rFonts w:ascii="Calibri" w:cs="Calibri" w:eastAsia="Calibri" w:hAnsi="Calibri"/>
          <w:sz w:val="20"/>
          <w:szCs w:val="20"/>
        </w:rPr>
        <w:t xml:space="preserve">It has a product category maintained for that plant, even with no sales</w:t>
      </w:r>
    </w:p>
    <w:p>
      <w:pPr>
        <w:spacing w:after="60" w:before="60"/>
      </w:pPr>
      <w:r>
        <w:rPr>
          <w:rFonts w:ascii="Calibri" w:cs="Calibri" w:eastAsia="Calibri" w:hAnsi="Calibri"/>
          <w:b w:val="false"/>
          <w:bCs w:val="false"/>
          <w:i w:val="false"/>
          <w:iCs w:val="false"/>
          <w:sz w:val="20"/>
          <w:szCs w:val="20"/>
        </w:rPr>
        <w:t xml:space="preserve">It is then removed if it appears in the material exclusion table for that plant.</w:t>
      </w:r>
    </w:p>
    <w:p>
      <w:pPr>
        <w:pStyle w:val="Heading1"/>
        <w:spacing w:after="120" w:before="280"/>
      </w:pPr>
      <w:r>
        <w:rPr>
          <w:rFonts w:ascii="Calibri" w:cs="Calibri" w:eastAsia="Calibri" w:hAnsi="Calibri"/>
          <w:b/>
          <w:bCs/>
          <w:color w:val="1F3864"/>
          <w:sz w:val="26"/>
          <w:szCs w:val="26"/>
        </w:rPr>
        <w:t xml:space="preserve">7.  How the forecast is calculated</w:t>
      </w:r>
    </w:p>
    <w:p>
      <w:pPr>
        <w:spacing w:after="60" w:before="60"/>
      </w:pPr>
      <w:r>
        <w:rPr>
          <w:rFonts w:ascii="Calibri" w:cs="Calibri" w:eastAsia="Calibri" w:hAnsi="Calibri"/>
          <w:b w:val="false"/>
          <w:bCs w:val="false"/>
          <w:i w:val="false"/>
          <w:iCs w:val="false"/>
          <w:sz w:val="20"/>
          <w:szCs w:val="20"/>
        </w:rPr>
        <w:t xml:space="preserve">For each material, three steps:</w:t>
      </w:r>
    </w:p>
    <w:p>
      <w:pPr>
        <w:shd w:fill="F2F2F2" w:color="auto" w:val="clear"/>
        <w:spacing w:after="40" w:before="40"/>
      </w:pPr>
      <w:r>
        <w:rPr>
          <w:rFonts w:ascii="Consolas" w:cs="Consolas" w:eastAsia="Consolas" w:hAnsi="Consolas"/>
          <w:sz w:val="19"/>
          <w:szCs w:val="19"/>
        </w:rPr>
        <w:t xml:space="preserve">Step 1   Total last year   = sum of the twelve monthly sales figures</w:t>
      </w:r>
    </w:p>
    <w:p>
      <w:pPr>
        <w:shd w:fill="F2F2F2" w:color="auto" w:val="clear"/>
        <w:spacing w:after="40" w:before="40"/>
      </w:pPr>
      <w:r>
        <w:rPr>
          <w:rFonts w:ascii="Consolas" w:cs="Consolas" w:eastAsia="Consolas" w:hAnsi="Consolas"/>
          <w:sz w:val="19"/>
          <w:szCs w:val="19"/>
        </w:rPr>
        <w:t xml:space="preserve">Step 2   Forecast total    = Total last year  x  Load factor</w:t>
      </w:r>
    </w:p>
    <w:p>
      <w:pPr>
        <w:shd w:fill="F2F2F2" w:color="auto" w:val="clear"/>
        <w:spacing w:after="40" w:before="40"/>
      </w:pPr>
      <w:r>
        <w:rPr>
          <w:rFonts w:ascii="Consolas" w:cs="Consolas" w:eastAsia="Consolas" w:hAnsi="Consolas"/>
          <w:sz w:val="19"/>
          <w:szCs w:val="19"/>
        </w:rPr>
        <w:t xml:space="preserve">Step 3   Each month        = that month last year  x  Load factor</w:t>
      </w:r>
    </w:p>
    <w:p>
      <w:pPr>
        <w:spacing w:after="60" w:before="60"/>
      </w:pPr>
      <w:r>
        <w:rPr>
          <w:rFonts w:ascii="Calibri" w:cs="Calibri" w:eastAsia="Calibri" w:hAnsi="Calibri"/>
          <w:b w:val="false"/>
          <w:bCs w:val="false"/>
          <w:i w:val="false"/>
          <w:iCs w:val="false"/>
          <w:sz w:val="20"/>
          <w:szCs w:val="20"/>
        </w:rPr>
        <w:t xml:space="preserve">The load factor comes from the product category maintained for the material. Worked example with a load factor of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26"/>
      </w:tblGrid>
      <w:tr>
        <w:trPr>
          <w:tblHeader/>
        </w:trPr>
        <w:tc>
          <w:tcPr>
            <w:tcW w:type="dxa" w:w="1800"/>
            <w:shd w:fill="D9D9D9" w:color="auto" w:val="clear"/>
          </w:tcPr>
          <w:p>
            <w:pPr>
              <w:spacing w:after="40" w:before="40"/>
            </w:pPr>
            <w:r>
              <w:rPr>
                <w:rFonts w:ascii="Calibri" w:cs="Calibri" w:eastAsia="Calibri" w:hAnsi="Calibri"/>
                <w:b/>
                <w:bCs/>
                <w:sz w:val="19"/>
                <w:szCs w:val="19"/>
              </w:rPr>
              <w:t xml:space="preserve">Month</w:t>
            </w:r>
          </w:p>
        </w:tc>
        <w:tc>
          <w:tcPr>
            <w:tcW w:type="dxa" w:w="1800"/>
            <w:shd w:fill="D9D9D9" w:color="auto" w:val="clear"/>
          </w:tcPr>
          <w:p>
            <w:pPr>
              <w:spacing w:after="40" w:before="40"/>
            </w:pPr>
            <w:r>
              <w:rPr>
                <w:rFonts w:ascii="Calibri" w:cs="Calibri" w:eastAsia="Calibri" w:hAnsi="Calibri"/>
                <w:b/>
                <w:bCs/>
                <w:sz w:val="19"/>
                <w:szCs w:val="19"/>
              </w:rPr>
              <w:t xml:space="preserve">Sold last year</w:t>
            </w:r>
          </w:p>
        </w:tc>
        <w:tc>
          <w:tcPr>
            <w:tcW w:type="dxa" w:w="1800"/>
            <w:shd w:fill="D9D9D9" w:color="auto" w:val="clear"/>
          </w:tcPr>
          <w:p>
            <w:pPr>
              <w:spacing w:after="40" w:before="40"/>
            </w:pPr>
            <w:r>
              <w:rPr>
                <w:rFonts w:ascii="Calibri" w:cs="Calibri" w:eastAsia="Calibri" w:hAnsi="Calibri"/>
                <w:b/>
                <w:bCs/>
                <w:sz w:val="19"/>
                <w:szCs w:val="19"/>
              </w:rPr>
              <w:t xml:space="preserve">Forecast</w:t>
            </w:r>
          </w:p>
        </w:tc>
        <w:tc>
          <w:tcPr>
            <w:tcW w:type="dxa" w:w="3626"/>
            <w:shd w:fill="D9D9D9" w:color="auto" w:val="clear"/>
          </w:tcPr>
          <w:p>
            <w:pPr>
              <w:spacing w:after="40" w:before="40"/>
            </w:pPr>
            <w:r>
              <w:rPr>
                <w:rFonts w:ascii="Calibri" w:cs="Calibri" w:eastAsia="Calibri" w:hAnsi="Calibri"/>
                <w:b/>
                <w:bCs/>
                <w:sz w:val="19"/>
                <w:szCs w:val="19"/>
              </w:rPr>
              <w:t xml:space="preserve">How</w:t>
            </w:r>
          </w:p>
        </w:tc>
      </w:tr>
      <w:tr>
        <w:tc>
          <w:tcPr>
            <w:tcW w:type="dxa" w:w="1800"/>
          </w:tcPr>
          <w:p>
            <w:pPr>
              <w:spacing w:after="40" w:before="40"/>
            </w:pPr>
            <w:r>
              <w:rPr>
                <w:rFonts w:ascii="Calibri" w:cs="Calibri" w:eastAsia="Calibri" w:hAnsi="Calibri"/>
                <w:b w:val="false"/>
                <w:bCs w:val="false"/>
                <w:sz w:val="19"/>
                <w:szCs w:val="19"/>
              </w:rPr>
              <w:t xml:space="preserve">April</w:t>
            </w:r>
          </w:p>
        </w:tc>
        <w:tc>
          <w:tcPr>
            <w:tcW w:type="dxa" w:w="1800"/>
          </w:tcPr>
          <w:p>
            <w:pPr>
              <w:spacing w:after="40" w:before="40"/>
            </w:pPr>
            <w:r>
              <w:rPr>
                <w:rFonts w:ascii="Calibri" w:cs="Calibri" w:eastAsia="Calibri" w:hAnsi="Calibri"/>
                <w:b w:val="false"/>
                <w:bCs w:val="false"/>
                <w:sz w:val="19"/>
                <w:szCs w:val="19"/>
              </w:rPr>
              <w:t xml:space="preserve">76,680</w:t>
            </w:r>
          </w:p>
        </w:tc>
        <w:tc>
          <w:tcPr>
            <w:tcW w:type="dxa" w:w="1800"/>
          </w:tcPr>
          <w:p>
            <w:pPr>
              <w:spacing w:after="40" w:before="40"/>
            </w:pPr>
            <w:r>
              <w:rPr>
                <w:rFonts w:ascii="Calibri" w:cs="Calibri" w:eastAsia="Calibri" w:hAnsi="Calibri"/>
                <w:b w:val="false"/>
                <w:bCs w:val="false"/>
                <w:sz w:val="19"/>
                <w:szCs w:val="19"/>
              </w:rPr>
              <w:t xml:space="preserve">99,684</w:t>
            </w:r>
          </w:p>
        </w:tc>
        <w:tc>
          <w:tcPr>
            <w:tcW w:type="dxa" w:w="3626"/>
          </w:tcPr>
          <w:p>
            <w:pPr>
              <w:spacing w:after="40" w:before="40"/>
            </w:pPr>
            <w:r>
              <w:rPr>
                <w:rFonts w:ascii="Calibri" w:cs="Calibri" w:eastAsia="Calibri" w:hAnsi="Calibri"/>
                <w:b w:val="false"/>
                <w:bCs w:val="false"/>
                <w:sz w:val="19"/>
                <w:szCs w:val="19"/>
              </w:rPr>
              <w:t xml:space="preserve">76,680 x 1.3</w:t>
            </w:r>
          </w:p>
        </w:tc>
      </w:tr>
      <w:tr>
        <w:tc>
          <w:tcPr>
            <w:tcW w:type="dxa" w:w="1800"/>
          </w:tcPr>
          <w:p>
            <w:pPr>
              <w:spacing w:after="40" w:before="40"/>
            </w:pPr>
            <w:r>
              <w:rPr>
                <w:rFonts w:ascii="Calibri" w:cs="Calibri" w:eastAsia="Calibri" w:hAnsi="Calibri"/>
                <w:b w:val="false"/>
                <w:bCs w:val="false"/>
                <w:sz w:val="19"/>
                <w:szCs w:val="19"/>
              </w:rPr>
              <w:t xml:space="preserve">May</w:t>
            </w:r>
          </w:p>
        </w:tc>
        <w:tc>
          <w:tcPr>
            <w:tcW w:type="dxa" w:w="1800"/>
          </w:tcPr>
          <w:p>
            <w:pPr>
              <w:spacing w:after="40" w:before="40"/>
            </w:pPr>
            <w:r>
              <w:rPr>
                <w:rFonts w:ascii="Calibri" w:cs="Calibri" w:eastAsia="Calibri" w:hAnsi="Calibri"/>
                <w:b w:val="false"/>
                <w:bCs w:val="false"/>
                <w:sz w:val="19"/>
                <w:szCs w:val="19"/>
              </w:rPr>
              <w:t xml:space="preserve">104,760</w:t>
            </w:r>
          </w:p>
        </w:tc>
        <w:tc>
          <w:tcPr>
            <w:tcW w:type="dxa" w:w="1800"/>
          </w:tcPr>
          <w:p>
            <w:pPr>
              <w:spacing w:after="40" w:before="40"/>
            </w:pPr>
            <w:r>
              <w:rPr>
                <w:rFonts w:ascii="Calibri" w:cs="Calibri" w:eastAsia="Calibri" w:hAnsi="Calibri"/>
                <w:b w:val="false"/>
                <w:bCs w:val="false"/>
                <w:sz w:val="19"/>
                <w:szCs w:val="19"/>
              </w:rPr>
              <w:t xml:space="preserve">136,188</w:t>
            </w:r>
          </w:p>
        </w:tc>
        <w:tc>
          <w:tcPr>
            <w:tcW w:type="dxa" w:w="3626"/>
          </w:tcPr>
          <w:p>
            <w:pPr>
              <w:spacing w:after="40" w:before="40"/>
            </w:pPr>
            <w:r>
              <w:rPr>
                <w:rFonts w:ascii="Calibri" w:cs="Calibri" w:eastAsia="Calibri" w:hAnsi="Calibri"/>
                <w:b w:val="false"/>
                <w:bCs w:val="false"/>
                <w:sz w:val="19"/>
                <w:szCs w:val="19"/>
              </w:rPr>
              <w:t xml:space="preserve">104,760 x 1.3</w:t>
            </w:r>
          </w:p>
        </w:tc>
      </w:tr>
      <w:tr>
        <w:tc>
          <w:tcPr>
            <w:tcW w:type="dxa" w:w="1800"/>
          </w:tcPr>
          <w:p>
            <w:pPr>
              <w:spacing w:after="40" w:before="40"/>
            </w:pPr>
            <w:r>
              <w:rPr>
                <w:rFonts w:ascii="Calibri" w:cs="Calibri" w:eastAsia="Calibri" w:hAnsi="Calibri"/>
                <w:b w:val="false"/>
                <w:bCs w:val="false"/>
                <w:sz w:val="19"/>
                <w:szCs w:val="19"/>
              </w:rPr>
              <w:t xml:space="preserve">…</w:t>
            </w:r>
          </w:p>
        </w:tc>
        <w:tc>
          <w:tcPr>
            <w:tcW w:type="dxa" w:w="1800"/>
          </w:tcPr>
          <w:p>
            <w:pPr>
              <w:spacing w:after="40" w:before="40"/>
            </w:pPr>
            <w:r>
              <w:rPr>
                <w:rFonts w:ascii="Calibri" w:cs="Calibri" w:eastAsia="Calibri" w:hAnsi="Calibri"/>
                <w:b w:val="false"/>
                <w:bCs w:val="false"/>
                <w:sz w:val="19"/>
                <w:szCs w:val="19"/>
              </w:rPr>
              <w:t xml:space="preserve">…</w:t>
            </w:r>
          </w:p>
        </w:tc>
        <w:tc>
          <w:tcPr>
            <w:tcW w:type="dxa" w:w="1800"/>
          </w:tcPr>
          <w:p>
            <w:pPr>
              <w:spacing w:after="40" w:before="40"/>
            </w:pPr>
            <w:r>
              <w:rPr>
                <w:rFonts w:ascii="Calibri" w:cs="Calibri" w:eastAsia="Calibri" w:hAnsi="Calibri"/>
                <w:b w:val="false"/>
                <w:bCs w:val="false"/>
                <w:sz w:val="19"/>
                <w:szCs w:val="19"/>
              </w:rPr>
              <w:t xml:space="preserve">…</w:t>
            </w:r>
          </w:p>
        </w:tc>
        <w:tc>
          <w:tcPr>
            <w:tcW w:type="dxa" w:w="3626"/>
          </w:tcPr>
          <w:p>
            <w:pPr>
              <w:spacing w:after="40" w:before="40"/>
            </w:pPr>
            <w:r>
              <w:rPr>
                <w:rFonts w:ascii="Calibri" w:cs="Calibri" w:eastAsia="Calibri" w:hAnsi="Calibri"/>
                <w:b w:val="false"/>
                <w:bCs w:val="false"/>
                <w:sz w:val="19"/>
                <w:szCs w:val="19"/>
              </w:rPr>
              <w:t xml:space="preserve"/>
            </w:r>
          </w:p>
        </w:tc>
      </w:tr>
      <w:tr>
        <w:tc>
          <w:tcPr>
            <w:tcW w:type="dxa" w:w="1800"/>
          </w:tcPr>
          <w:p>
            <w:pPr>
              <w:spacing w:after="40" w:before="40"/>
            </w:pPr>
            <w:r>
              <w:rPr>
                <w:rFonts w:ascii="Calibri" w:cs="Calibri" w:eastAsia="Calibri" w:hAnsi="Calibri"/>
                <w:b w:val="false"/>
                <w:bCs w:val="false"/>
                <w:sz w:val="19"/>
                <w:szCs w:val="19"/>
              </w:rPr>
              <w:t xml:space="preserve">Total</w:t>
            </w:r>
          </w:p>
        </w:tc>
        <w:tc>
          <w:tcPr>
            <w:tcW w:type="dxa" w:w="1800"/>
          </w:tcPr>
          <w:p>
            <w:pPr>
              <w:spacing w:after="40" w:before="40"/>
            </w:pPr>
            <w:r>
              <w:rPr>
                <w:rFonts w:ascii="Calibri" w:cs="Calibri" w:eastAsia="Calibri" w:hAnsi="Calibri"/>
                <w:b w:val="false"/>
                <w:bCs w:val="false"/>
                <w:sz w:val="19"/>
                <w:szCs w:val="19"/>
              </w:rPr>
              <w:t xml:space="preserve">998,640</w:t>
            </w:r>
          </w:p>
        </w:tc>
        <w:tc>
          <w:tcPr>
            <w:tcW w:type="dxa" w:w="1800"/>
          </w:tcPr>
          <w:p>
            <w:pPr>
              <w:spacing w:after="40" w:before="40"/>
            </w:pPr>
            <w:r>
              <w:rPr>
                <w:rFonts w:ascii="Calibri" w:cs="Calibri" w:eastAsia="Calibri" w:hAnsi="Calibri"/>
                <w:b w:val="false"/>
                <w:bCs w:val="false"/>
                <w:sz w:val="19"/>
                <w:szCs w:val="19"/>
              </w:rPr>
              <w:t xml:space="preserve">1,298,232</w:t>
            </w:r>
          </w:p>
        </w:tc>
        <w:tc>
          <w:tcPr>
            <w:tcW w:type="dxa" w:w="3626"/>
          </w:tcPr>
          <w:p>
            <w:pPr>
              <w:spacing w:after="40" w:before="40"/>
            </w:pPr>
            <w:r>
              <w:rPr>
                <w:rFonts w:ascii="Calibri" w:cs="Calibri" w:eastAsia="Calibri" w:hAnsi="Calibri"/>
                <w:b w:val="false"/>
                <w:bCs w:val="false"/>
                <w:sz w:val="19"/>
                <w:szCs w:val="19"/>
              </w:rPr>
              <w:t xml:space="preserve">998,640 x 1.3</w:t>
            </w:r>
          </w:p>
        </w:tc>
      </w:tr>
    </w:tbl>
    <w:p>
      <w:pPr>
        <w:spacing w:after="60" w:before="60"/>
      </w:pPr>
      <w:r>
        <w:rPr>
          <w:rFonts w:ascii="Calibri" w:cs="Calibri" w:eastAsia="Calibri" w:hAnsi="Calibri"/>
          <w:b w:val="false"/>
          <w:bCs w:val="false"/>
          <w:i w:val="false"/>
          <w:iCs w:val="false"/>
          <w:sz w:val="20"/>
          <w:szCs w:val="20"/>
        </w:rPr>
        <w:t xml:space="preserve">The monthly forecasts always add back up to the forecast total, so the shape of last year is preserved and only the size changes.</w:t>
      </w:r>
    </w:p>
    <w:p>
      <w:pPr>
        <w:pStyle w:val="Heading1"/>
        <w:spacing w:after="120" w:before="280"/>
      </w:pPr>
      <w:r>
        <w:rPr>
          <w:rFonts w:ascii="Calibri" w:cs="Calibri" w:eastAsia="Calibri" w:hAnsi="Calibri"/>
          <w:b/>
          <w:bCs/>
          <w:color w:val="1F3864"/>
          <w:sz w:val="26"/>
          <w:szCs w:val="26"/>
        </w:rPr>
        <w:t xml:space="preserve">8.  Tonnage</w:t>
      </w:r>
    </w:p>
    <w:p>
      <w:pPr>
        <w:spacing w:after="60" w:before="60"/>
      </w:pPr>
      <w:r>
        <w:rPr>
          <w:rFonts w:ascii="Calibri" w:cs="Calibri" w:eastAsia="Calibri" w:hAnsi="Calibri"/>
          <w:b w:val="false"/>
          <w:bCs w:val="false"/>
          <w:i w:val="false"/>
          <w:iCs w:val="false"/>
          <w:sz w:val="20"/>
          <w:szCs w:val="20"/>
        </w:rPr>
        <w:t xml:space="preserve">If the Tonnage box is ticked, each monthly forecast is also shown multiplied by the material net weight. Tonnage is for information only — the figure saved is always the quantity, never the weight.</w:t>
      </w:r>
    </w:p>
    <w:p>
      <w:pPr>
        <w:pStyle w:val="Heading1"/>
        <w:spacing w:after="120" w:before="280"/>
      </w:pPr>
      <w:r>
        <w:rPr>
          <w:rFonts w:ascii="Calibri" w:cs="Calibri" w:eastAsia="Calibri" w:hAnsi="Calibri"/>
          <w:b/>
          <w:bCs/>
          <w:color w:val="1F3864"/>
          <w:sz w:val="26"/>
          <w:szCs w:val="26"/>
        </w:rPr>
        <w:t xml:space="preserve">9.  Saving</w:t>
      </w:r>
    </w:p>
    <w:p>
      <w:pPr>
        <w:pStyle w:val="ListParagraph"/>
        <w:numPr>
          <w:ilvl w:val="0"/>
          <w:numId w:val="1"/>
        </w:numPr>
        <w:spacing w:after="40" w:before="40"/>
      </w:pPr>
      <w:r>
        <w:rPr>
          <w:rFonts w:ascii="Calibri" w:cs="Calibri" w:eastAsia="Calibri" w:hAnsi="Calibri"/>
          <w:sz w:val="20"/>
          <w:szCs w:val="20"/>
        </w:rPr>
        <w:t xml:space="preserve">The user selects the rows to keep and presses Save</w:t>
      </w:r>
    </w:p>
    <w:p>
      <w:pPr>
        <w:pStyle w:val="ListParagraph"/>
        <w:numPr>
          <w:ilvl w:val="0"/>
          <w:numId w:val="1"/>
        </w:numPr>
        <w:spacing w:after="40" w:before="40"/>
      </w:pPr>
      <w:r>
        <w:rPr>
          <w:rFonts w:ascii="Calibri" w:cs="Calibri" w:eastAsia="Calibri" w:hAnsi="Calibri"/>
          <w:sz w:val="20"/>
          <w:szCs w:val="20"/>
        </w:rPr>
        <w:t xml:space="preserve">A forecast number is generated the first time a material is saved for that financial year</w:t>
      </w:r>
    </w:p>
    <w:p>
      <w:pPr>
        <w:pStyle w:val="ListParagraph"/>
        <w:numPr>
          <w:ilvl w:val="0"/>
          <w:numId w:val="1"/>
        </w:numPr>
        <w:spacing w:after="40" w:before="40"/>
      </w:pPr>
      <w:r>
        <w:rPr>
          <w:rFonts w:ascii="Calibri" w:cs="Calibri" w:eastAsia="Calibri" w:hAnsi="Calibri"/>
          <w:sz w:val="20"/>
          <w:szCs w:val="20"/>
        </w:rPr>
        <w:t xml:space="preserve">Running the report again and saving reuses the same forecast number and overwrites the previous figures</w:t>
      </w:r>
    </w:p>
    <w:p>
      <w:pPr>
        <w:pStyle w:val="ListParagraph"/>
        <w:numPr>
          <w:ilvl w:val="0"/>
          <w:numId w:val="1"/>
        </w:numPr>
        <w:spacing w:after="40" w:before="40"/>
      </w:pPr>
      <w:r>
        <w:rPr>
          <w:rFonts w:ascii="Calibri" w:cs="Calibri" w:eastAsia="Calibri" w:hAnsi="Calibri"/>
          <w:sz w:val="20"/>
          <w:szCs w:val="20"/>
        </w:rPr>
        <w:t xml:space="preserve">Quarterly and monthly planning cannot be used for a material until its annual forecast has been saved</w:t>
      </w:r>
    </w:p>
    <w:p>
      <w:pPr>
        <w:pStyle w:val="Heading1"/>
        <w:spacing w:after="120" w:before="280"/>
      </w:pPr>
      <w:r>
        <w:rPr>
          <w:rFonts w:ascii="Calibri" w:cs="Calibri" w:eastAsia="Calibri" w:hAnsi="Calibri"/>
          <w:b/>
          <w:bCs/>
          <w:color w:val="1F3864"/>
          <w:sz w:val="26"/>
          <w:szCs w:val="26"/>
        </w:rPr>
        <w:t xml:space="preserve">10.  Every case, and what happens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D9D9D9" w:color="auto" w:val="clear"/>
          </w:tcPr>
          <w:p>
            <w:pPr>
              <w:spacing w:after="40" w:before="40"/>
            </w:pPr>
            <w:r>
              <w:rPr>
                <w:rFonts w:ascii="Calibri" w:cs="Calibri" w:eastAsia="Calibri" w:hAnsi="Calibri"/>
                <w:b/>
                <w:bCs/>
                <w:sz w:val="19"/>
                <w:szCs w:val="19"/>
              </w:rPr>
              <w:t xml:space="preserve">Situation</w:t>
            </w:r>
          </w:p>
        </w:tc>
        <w:tc>
          <w:tcPr>
            <w:tcW w:type="dxa" w:w="5426"/>
            <w:shd w:fill="D9D9D9" w:color="auto" w:val="clear"/>
          </w:tcPr>
          <w:p>
            <w:pPr>
              <w:spacing w:after="40" w:before="40"/>
            </w:pPr>
            <w:r>
              <w:rPr>
                <w:rFonts w:ascii="Calibri" w:cs="Calibri" w:eastAsia="Calibri" w:hAnsi="Calibri"/>
                <w:b/>
                <w:bCs/>
                <w:sz w:val="19"/>
                <w:szCs w:val="19"/>
              </w:rPr>
              <w:t xml:space="preserve">What the report does</w:t>
            </w:r>
          </w:p>
        </w:tc>
      </w:tr>
      <w:tr>
        <w:tc>
          <w:tcPr>
            <w:tcW w:type="dxa" w:w="3600"/>
          </w:tcPr>
          <w:p>
            <w:pPr>
              <w:spacing w:after="40" w:before="40"/>
            </w:pPr>
            <w:r>
              <w:rPr>
                <w:rFonts w:ascii="Calibri" w:cs="Calibri" w:eastAsia="Calibri" w:hAnsi="Calibri"/>
                <w:b w:val="false"/>
                <w:bCs w:val="false"/>
                <w:sz w:val="19"/>
                <w:szCs w:val="19"/>
              </w:rPr>
              <w:t xml:space="preserve">Material sold last year, category maintained</w:t>
            </w:r>
          </w:p>
        </w:tc>
        <w:tc>
          <w:tcPr>
            <w:tcW w:type="dxa" w:w="5426"/>
          </w:tcPr>
          <w:p>
            <w:pPr>
              <w:spacing w:after="40" w:before="40"/>
            </w:pPr>
            <w:r>
              <w:rPr>
                <w:rFonts w:ascii="Calibri" w:cs="Calibri" w:eastAsia="Calibri" w:hAnsi="Calibri"/>
                <w:b w:val="false"/>
                <w:bCs w:val="false"/>
                <w:sz w:val="19"/>
                <w:szCs w:val="19"/>
              </w:rPr>
              <w:t xml:space="preserve">Normal forecast using the maintained load factor</w:t>
            </w:r>
          </w:p>
        </w:tc>
      </w:tr>
      <w:tr>
        <w:tc>
          <w:tcPr>
            <w:tcW w:type="dxa" w:w="3600"/>
          </w:tcPr>
          <w:p>
            <w:pPr>
              <w:spacing w:after="40" w:before="40"/>
            </w:pPr>
            <w:r>
              <w:rPr>
                <w:rFonts w:ascii="Calibri" w:cs="Calibri" w:eastAsia="Calibri" w:hAnsi="Calibri"/>
                <w:b w:val="false"/>
                <w:bCs w:val="false"/>
                <w:sz w:val="19"/>
                <w:szCs w:val="19"/>
              </w:rPr>
              <w:t xml:space="preserve">Material sold last year, no category maintained</w:t>
            </w:r>
          </w:p>
        </w:tc>
        <w:tc>
          <w:tcPr>
            <w:tcW w:type="dxa" w:w="5426"/>
          </w:tcPr>
          <w:p>
            <w:pPr>
              <w:spacing w:after="40" w:before="40"/>
            </w:pPr>
            <w:r>
              <w:rPr>
                <w:rFonts w:ascii="Calibri" w:cs="Calibri" w:eastAsia="Calibri" w:hAnsi="Calibri"/>
                <w:b w:val="false"/>
                <w:bCs w:val="false"/>
                <w:sz w:val="19"/>
                <w:szCs w:val="19"/>
              </w:rPr>
              <w:t xml:space="preserve">Forecast still produced using a load factor of 1.000, and the row is flagged "No product category maintained"</w:t>
            </w:r>
          </w:p>
        </w:tc>
      </w:tr>
      <w:tr>
        <w:tc>
          <w:tcPr>
            <w:tcW w:type="dxa" w:w="3600"/>
          </w:tcPr>
          <w:p>
            <w:pPr>
              <w:spacing w:after="40" w:before="40"/>
            </w:pPr>
            <w:r>
              <w:rPr>
                <w:rFonts w:ascii="Calibri" w:cs="Calibri" w:eastAsia="Calibri" w:hAnsi="Calibri"/>
                <w:b w:val="false"/>
                <w:bCs w:val="false"/>
                <w:sz w:val="19"/>
                <w:szCs w:val="19"/>
              </w:rPr>
              <w:t xml:space="preserve">Material has a category but no sales last year</w:t>
            </w:r>
          </w:p>
        </w:tc>
        <w:tc>
          <w:tcPr>
            <w:tcW w:type="dxa" w:w="5426"/>
          </w:tcPr>
          <w:p>
            <w:pPr>
              <w:spacing w:after="40" w:before="40"/>
            </w:pPr>
            <w:r>
              <w:rPr>
                <w:rFonts w:ascii="Calibri" w:cs="Calibri" w:eastAsia="Calibri" w:hAnsi="Calibri"/>
                <w:b w:val="false"/>
                <w:bCs w:val="false"/>
                <w:sz w:val="19"/>
                <w:szCs w:val="19"/>
              </w:rPr>
              <w:t xml:space="preserve">Appears with all twelve months zero and a zero forecast, so the user can see it was considered</w:t>
            </w:r>
          </w:p>
        </w:tc>
      </w:tr>
      <w:tr>
        <w:tc>
          <w:tcPr>
            <w:tcW w:type="dxa" w:w="3600"/>
          </w:tcPr>
          <w:p>
            <w:pPr>
              <w:spacing w:after="40" w:before="40"/>
            </w:pPr>
            <w:r>
              <w:rPr>
                <w:rFonts w:ascii="Calibri" w:cs="Calibri" w:eastAsia="Calibri" w:hAnsi="Calibri"/>
                <w:b w:val="false"/>
                <w:bCs w:val="false"/>
                <w:sz w:val="19"/>
                <w:szCs w:val="19"/>
              </w:rPr>
              <w:t xml:space="preserve">Material in the exclusion table</w:t>
            </w:r>
          </w:p>
        </w:tc>
        <w:tc>
          <w:tcPr>
            <w:tcW w:type="dxa" w:w="5426"/>
          </w:tcPr>
          <w:p>
            <w:pPr>
              <w:spacing w:after="40" w:before="40"/>
            </w:pPr>
            <w:r>
              <w:rPr>
                <w:rFonts w:ascii="Calibri" w:cs="Calibri" w:eastAsia="Calibri" w:hAnsi="Calibri"/>
                <w:b w:val="false"/>
                <w:bCs w:val="false"/>
                <w:sz w:val="19"/>
                <w:szCs w:val="19"/>
              </w:rPr>
              <w:t xml:space="preserve">Does not appear at all</w:t>
            </w:r>
          </w:p>
        </w:tc>
      </w:tr>
      <w:tr>
        <w:tc>
          <w:tcPr>
            <w:tcW w:type="dxa" w:w="3600"/>
          </w:tcPr>
          <w:p>
            <w:pPr>
              <w:spacing w:after="40" w:before="40"/>
            </w:pPr>
            <w:r>
              <w:rPr>
                <w:rFonts w:ascii="Calibri" w:cs="Calibri" w:eastAsia="Calibri" w:hAnsi="Calibri"/>
                <w:b w:val="false"/>
                <w:bCs w:val="false"/>
                <w:sz w:val="19"/>
                <w:szCs w:val="19"/>
              </w:rPr>
              <w:t xml:space="preserve">Material renamed, old codes recorded in the tracking table</w:t>
            </w:r>
          </w:p>
        </w:tc>
        <w:tc>
          <w:tcPr>
            <w:tcW w:type="dxa" w:w="5426"/>
          </w:tcPr>
          <w:p>
            <w:pPr>
              <w:spacing w:after="40" w:before="40"/>
            </w:pPr>
            <w:r>
              <w:rPr>
                <w:rFonts w:ascii="Calibri" w:cs="Calibri" w:eastAsia="Calibri" w:hAnsi="Calibri"/>
                <w:b w:val="false"/>
                <w:bCs w:val="false"/>
                <w:sz w:val="19"/>
                <w:szCs w:val="19"/>
              </w:rPr>
              <w:t xml:space="preserve">Quantities of the old codes are added into the new code, so history is not lost</w:t>
            </w:r>
          </w:p>
        </w:tc>
      </w:tr>
      <w:tr>
        <w:tc>
          <w:tcPr>
            <w:tcW w:type="dxa" w:w="3600"/>
          </w:tcPr>
          <w:p>
            <w:pPr>
              <w:spacing w:after="40" w:before="40"/>
            </w:pPr>
            <w:r>
              <w:rPr>
                <w:rFonts w:ascii="Calibri" w:cs="Calibri" w:eastAsia="Calibri" w:hAnsi="Calibri"/>
                <w:b w:val="false"/>
                <w:bCs w:val="false"/>
                <w:sz w:val="19"/>
                <w:szCs w:val="19"/>
              </w:rPr>
              <w:t xml:space="preserve">All of a material’s activity last year was returns</w:t>
            </w:r>
          </w:p>
        </w:tc>
        <w:tc>
          <w:tcPr>
            <w:tcW w:type="dxa" w:w="5426"/>
          </w:tcPr>
          <w:p>
            <w:pPr>
              <w:spacing w:after="40" w:before="40"/>
            </w:pPr>
            <w:r>
              <w:rPr>
                <w:rFonts w:ascii="Calibri" w:cs="Calibri" w:eastAsia="Calibri" w:hAnsi="Calibri"/>
                <w:b w:val="false"/>
                <w:bCs w:val="false"/>
                <w:sz w:val="19"/>
                <w:szCs w:val="19"/>
              </w:rPr>
              <w:t xml:space="preserve">Those are excluded, so the material shows zero</w:t>
            </w:r>
          </w:p>
        </w:tc>
      </w:tr>
      <w:tr>
        <w:tc>
          <w:tcPr>
            <w:tcW w:type="dxa" w:w="3600"/>
          </w:tcPr>
          <w:p>
            <w:pPr>
              <w:spacing w:after="40" w:before="40"/>
            </w:pPr>
            <w:r>
              <w:rPr>
                <w:rFonts w:ascii="Calibri" w:cs="Calibri" w:eastAsia="Calibri" w:hAnsi="Calibri"/>
                <w:b w:val="false"/>
                <w:bCs w:val="false"/>
                <w:sz w:val="19"/>
                <w:szCs w:val="19"/>
              </w:rPr>
              <w:t xml:space="preserve">An invoice was cancelled</w:t>
            </w:r>
          </w:p>
        </w:tc>
        <w:tc>
          <w:tcPr>
            <w:tcW w:type="dxa" w:w="5426"/>
          </w:tcPr>
          <w:p>
            <w:pPr>
              <w:spacing w:after="40" w:before="40"/>
            </w:pPr>
            <w:r>
              <w:rPr>
                <w:rFonts w:ascii="Calibri" w:cs="Calibri" w:eastAsia="Calibri" w:hAnsi="Calibri"/>
                <w:b w:val="false"/>
                <w:bCs w:val="false"/>
                <w:sz w:val="19"/>
                <w:szCs w:val="19"/>
              </w:rPr>
              <w:t xml:space="preserve">Excluded from the history</w:t>
            </w:r>
          </w:p>
        </w:tc>
      </w:tr>
      <w:tr>
        <w:tc>
          <w:tcPr>
            <w:tcW w:type="dxa" w:w="3600"/>
          </w:tcPr>
          <w:p>
            <w:pPr>
              <w:spacing w:after="40" w:before="40"/>
            </w:pPr>
            <w:r>
              <w:rPr>
                <w:rFonts w:ascii="Calibri" w:cs="Calibri" w:eastAsia="Calibri" w:hAnsi="Calibri"/>
                <w:b w:val="false"/>
                <w:bCs w:val="false"/>
                <w:sz w:val="19"/>
                <w:szCs w:val="19"/>
              </w:rPr>
              <w:t xml:space="preserve">A pro-forma invoice exists</w:t>
            </w:r>
          </w:p>
        </w:tc>
        <w:tc>
          <w:tcPr>
            <w:tcW w:type="dxa" w:w="5426"/>
          </w:tcPr>
          <w:p>
            <w:pPr>
              <w:spacing w:after="40" w:before="40"/>
            </w:pPr>
            <w:r>
              <w:rPr>
                <w:rFonts w:ascii="Calibri" w:cs="Calibri" w:eastAsia="Calibri" w:hAnsi="Calibri"/>
                <w:b w:val="false"/>
                <w:bCs w:val="false"/>
                <w:sz w:val="19"/>
                <w:szCs w:val="19"/>
              </w:rPr>
              <w:t xml:space="preserve">Excluded from the history</w:t>
            </w:r>
          </w:p>
        </w:tc>
      </w:tr>
      <w:tr>
        <w:tc>
          <w:tcPr>
            <w:tcW w:type="dxa" w:w="3600"/>
          </w:tcPr>
          <w:p>
            <w:pPr>
              <w:spacing w:after="40" w:before="40"/>
            </w:pPr>
            <w:r>
              <w:rPr>
                <w:rFonts w:ascii="Calibri" w:cs="Calibri" w:eastAsia="Calibri" w:hAnsi="Calibri"/>
                <w:b w:val="false"/>
                <w:bCs w:val="false"/>
                <w:sz w:val="19"/>
                <w:szCs w:val="19"/>
              </w:rPr>
              <w:t xml:space="preserve">Total last year is zero but a forecast total exists</w:t>
            </w:r>
          </w:p>
        </w:tc>
        <w:tc>
          <w:tcPr>
            <w:tcW w:type="dxa" w:w="5426"/>
          </w:tcPr>
          <w:p>
            <w:pPr>
              <w:spacing w:after="40" w:before="40"/>
            </w:pPr>
            <w:r>
              <w:rPr>
                <w:rFonts w:ascii="Calibri" w:cs="Calibri" w:eastAsia="Calibri" w:hAnsi="Calibri"/>
                <w:b w:val="false"/>
                <w:bCs w:val="false"/>
                <w:sz w:val="19"/>
                <w:szCs w:val="19"/>
              </w:rPr>
              <w:t xml:space="preserve">The forecast is spread equally across the twelve months rather than failing</w:t>
            </w:r>
          </w:p>
        </w:tc>
      </w:tr>
      <w:tr>
        <w:tc>
          <w:tcPr>
            <w:tcW w:type="dxa" w:w="3600"/>
          </w:tcPr>
          <w:p>
            <w:pPr>
              <w:spacing w:after="40" w:before="40"/>
            </w:pPr>
            <w:r>
              <w:rPr>
                <w:rFonts w:ascii="Calibri" w:cs="Calibri" w:eastAsia="Calibri" w:hAnsi="Calibri"/>
                <w:b w:val="false"/>
                <w:bCs w:val="false"/>
                <w:sz w:val="19"/>
                <w:szCs w:val="19"/>
              </w:rPr>
              <w:t xml:space="preserve">Load factor not maintained</w:t>
            </w:r>
          </w:p>
        </w:tc>
        <w:tc>
          <w:tcPr>
            <w:tcW w:type="dxa" w:w="5426"/>
          </w:tcPr>
          <w:p>
            <w:pPr>
              <w:spacing w:after="40" w:before="40"/>
            </w:pPr>
            <w:r>
              <w:rPr>
                <w:rFonts w:ascii="Calibri" w:cs="Calibri" w:eastAsia="Calibri" w:hAnsi="Calibri"/>
                <w:b w:val="false"/>
                <w:bCs w:val="false"/>
                <w:sz w:val="19"/>
                <w:szCs w:val="19"/>
              </w:rPr>
              <w:t xml:space="preserve">1.000 is used, so the forecast equals last year</w:t>
            </w:r>
          </w:p>
        </w:tc>
      </w:tr>
      <w:tr>
        <w:tc>
          <w:tcPr>
            <w:tcW w:type="dxa" w:w="3600"/>
          </w:tcPr>
          <w:p>
            <w:pPr>
              <w:spacing w:after="40" w:before="40"/>
            </w:pPr>
            <w:r>
              <w:rPr>
                <w:rFonts w:ascii="Calibri" w:cs="Calibri" w:eastAsia="Calibri" w:hAnsi="Calibri"/>
                <w:b w:val="false"/>
                <w:bCs w:val="false"/>
                <w:sz w:val="19"/>
                <w:szCs w:val="19"/>
              </w:rPr>
              <w:t xml:space="preserve">Legacy box ticked but nothing uploaded</w:t>
            </w:r>
          </w:p>
        </w:tc>
        <w:tc>
          <w:tcPr>
            <w:tcW w:type="dxa" w:w="5426"/>
          </w:tcPr>
          <w:p>
            <w:pPr>
              <w:spacing w:after="40" w:before="40"/>
            </w:pPr>
            <w:r>
              <w:rPr>
                <w:rFonts w:ascii="Calibri" w:cs="Calibri" w:eastAsia="Calibri" w:hAnsi="Calibri"/>
                <w:b w:val="false"/>
                <w:bCs w:val="false"/>
                <w:sz w:val="19"/>
                <w:szCs w:val="19"/>
              </w:rPr>
              <w:t xml:space="preserve">No rows are returned</w:t>
            </w:r>
          </w:p>
        </w:tc>
      </w:tr>
      <w:tr>
        <w:tc>
          <w:tcPr>
            <w:tcW w:type="dxa" w:w="3600"/>
          </w:tcPr>
          <w:p>
            <w:pPr>
              <w:spacing w:after="40" w:before="40"/>
            </w:pPr>
            <w:r>
              <w:rPr>
                <w:rFonts w:ascii="Calibri" w:cs="Calibri" w:eastAsia="Calibri" w:hAnsi="Calibri"/>
                <w:b w:val="false"/>
                <w:bCs w:val="false"/>
                <w:sz w:val="19"/>
                <w:szCs w:val="19"/>
              </w:rPr>
              <w:t xml:space="preserve">Legacy box ticked by an unauthorised user</w:t>
            </w:r>
          </w:p>
        </w:tc>
        <w:tc>
          <w:tcPr>
            <w:tcW w:type="dxa" w:w="5426"/>
          </w:tcPr>
          <w:p>
            <w:pPr>
              <w:spacing w:after="40" w:before="40"/>
            </w:pPr>
            <w:r>
              <w:rPr>
                <w:rFonts w:ascii="Calibri" w:cs="Calibri" w:eastAsia="Calibri" w:hAnsi="Calibri"/>
                <w:b w:val="false"/>
                <w:bCs w:val="false"/>
                <w:sz w:val="19"/>
                <w:szCs w:val="19"/>
              </w:rPr>
              <w:t xml:space="preserve">The report refuses to run</w:t>
            </w:r>
          </w:p>
        </w:tc>
      </w:tr>
      <w:tr>
        <w:tc>
          <w:tcPr>
            <w:tcW w:type="dxa" w:w="3600"/>
          </w:tcPr>
          <w:p>
            <w:pPr>
              <w:spacing w:after="40" w:before="40"/>
            </w:pPr>
            <w:r>
              <w:rPr>
                <w:rFonts w:ascii="Calibri" w:cs="Calibri" w:eastAsia="Calibri" w:hAnsi="Calibri"/>
                <w:b w:val="false"/>
                <w:bCs w:val="false"/>
                <w:sz w:val="19"/>
                <w:szCs w:val="19"/>
              </w:rPr>
              <w:t xml:space="preserve">Several plants selected</w:t>
            </w:r>
          </w:p>
        </w:tc>
        <w:tc>
          <w:tcPr>
            <w:tcW w:type="dxa" w:w="5426"/>
          </w:tcPr>
          <w:p>
            <w:pPr>
              <w:spacing w:after="40" w:before="40"/>
            </w:pPr>
            <w:r>
              <w:rPr>
                <w:rFonts w:ascii="Calibri" w:cs="Calibri" w:eastAsia="Calibri" w:hAnsi="Calibri"/>
                <w:b w:val="false"/>
                <w:bCs w:val="false"/>
                <w:sz w:val="19"/>
                <w:szCs w:val="19"/>
              </w:rPr>
              <w:t xml:space="preserve">All are included, one row per plant and material</w:t>
            </w:r>
          </w:p>
        </w:tc>
      </w:tr>
      <w:tr>
        <w:tc>
          <w:tcPr>
            <w:tcW w:type="dxa" w:w="3600"/>
          </w:tcPr>
          <w:p>
            <w:pPr>
              <w:spacing w:after="40" w:before="40"/>
            </w:pPr>
            <w:r>
              <w:rPr>
                <w:rFonts w:ascii="Calibri" w:cs="Calibri" w:eastAsia="Calibri" w:hAnsi="Calibri"/>
                <w:b w:val="false"/>
                <w:bCs w:val="false"/>
                <w:sz w:val="19"/>
                <w:szCs w:val="19"/>
              </w:rPr>
              <w:t xml:space="preserve">A forecast was already saved for this material and year</w:t>
            </w:r>
          </w:p>
        </w:tc>
        <w:tc>
          <w:tcPr>
            <w:tcW w:type="dxa" w:w="5426"/>
          </w:tcPr>
          <w:p>
            <w:pPr>
              <w:spacing w:after="40" w:before="40"/>
            </w:pPr>
            <w:r>
              <w:rPr>
                <w:rFonts w:ascii="Calibri" w:cs="Calibri" w:eastAsia="Calibri" w:hAnsi="Calibri"/>
                <w:b w:val="false"/>
                <w:bCs w:val="false"/>
                <w:sz w:val="19"/>
                <w:szCs w:val="19"/>
              </w:rPr>
              <w:t xml:space="preserve">The row shows the existing forecast number and is marked as already saved. Saving again overwrites it under the same number</w:t>
            </w:r>
          </w:p>
        </w:tc>
      </w:tr>
      <w:tr>
        <w:tc>
          <w:tcPr>
            <w:tcW w:type="dxa" w:w="3600"/>
          </w:tcPr>
          <w:p>
            <w:pPr>
              <w:spacing w:after="40" w:before="40"/>
            </w:pPr>
            <w:r>
              <w:rPr>
                <w:rFonts w:ascii="Calibri" w:cs="Calibri" w:eastAsia="Calibri" w:hAnsi="Calibri"/>
                <w:b w:val="false"/>
                <w:bCs w:val="false"/>
                <w:sz w:val="19"/>
                <w:szCs w:val="19"/>
              </w:rPr>
              <w:t xml:space="preserve">No sales at all for the plant in the history year</w:t>
            </w:r>
          </w:p>
        </w:tc>
        <w:tc>
          <w:tcPr>
            <w:tcW w:type="dxa" w:w="5426"/>
          </w:tcPr>
          <w:p>
            <w:pPr>
              <w:spacing w:after="40" w:before="40"/>
            </w:pPr>
            <w:r>
              <w:rPr>
                <w:rFonts w:ascii="Calibri" w:cs="Calibri" w:eastAsia="Calibri" w:hAnsi="Calibri"/>
                <w:b w:val="false"/>
                <w:bCs w:val="false"/>
                <w:sz w:val="19"/>
                <w:szCs w:val="19"/>
              </w:rPr>
              <w:t xml:space="preserve">The report reports that no data was selected</w:t>
            </w:r>
          </w:p>
        </w:tc>
      </w:tr>
    </w:tbl>
    <w:p>
      <w:pPr>
        <w:pStyle w:val="Heading1"/>
        <w:spacing w:after="120" w:before="280"/>
      </w:pPr>
      <w:r>
        <w:rPr>
          <w:rFonts w:ascii="Calibri" w:cs="Calibri" w:eastAsia="Calibri" w:hAnsi="Calibri"/>
          <w:b/>
          <w:bCs/>
          <w:color w:val="1F3864"/>
          <w:sz w:val="26"/>
          <w:szCs w:val="26"/>
        </w:rPr>
        <w:t xml:space="preserve">11.  Points needing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8326"/>
            <w:shd w:fill="D9D9D9" w:color="auto" w:val="clear"/>
          </w:tcPr>
          <w:p>
            <w:pPr>
              <w:spacing w:after="40" w:before="40"/>
            </w:pPr>
            <w:r>
              <w:rPr>
                <w:rFonts w:ascii="Calibri" w:cs="Calibri" w:eastAsia="Calibri" w:hAnsi="Calibri"/>
                <w:b/>
                <w:bCs/>
                <w:sz w:val="19"/>
                <w:szCs w:val="19"/>
              </w:rPr>
              <w:t xml:space="preserve">Question</w:t>
            </w:r>
          </w:p>
        </w:tc>
      </w:tr>
      <w:tr>
        <w:tc>
          <w:tcPr>
            <w:tcW w:type="dxa" w:w="700"/>
          </w:tcPr>
          <w:p>
            <w:pPr>
              <w:spacing w:after="40" w:before="40"/>
            </w:pPr>
            <w:r>
              <w:rPr>
                <w:rFonts w:ascii="Calibri" w:cs="Calibri" w:eastAsia="Calibri" w:hAnsi="Calibri"/>
                <w:b w:val="false"/>
                <w:bCs w:val="false"/>
                <w:sz w:val="19"/>
                <w:szCs w:val="19"/>
              </w:rPr>
              <w:t xml:space="preserve">1</w:t>
            </w:r>
          </w:p>
        </w:tc>
        <w:tc>
          <w:tcPr>
            <w:tcW w:type="dxa" w:w="8326"/>
          </w:tcPr>
          <w:p>
            <w:pPr>
              <w:spacing w:after="40" w:before="40"/>
            </w:pPr>
            <w:r>
              <w:rPr>
                <w:rFonts w:ascii="Calibri" w:cs="Calibri" w:eastAsia="Calibri" w:hAnsi="Calibri"/>
                <w:b w:val="false"/>
                <w:bCs w:val="false"/>
                <w:sz w:val="19"/>
                <w:szCs w:val="19"/>
              </w:rPr>
              <w:t xml:space="preserve">Returns. The FS says to select invoice lines where the returns indicator is NOT blank, which selects returns only and excludes every normal sale. This has been built the other way round: normal sales included, returns excluded. Please confirm the FS should be corrected.</w:t>
            </w:r>
          </w:p>
        </w:tc>
      </w:tr>
      <w:tr>
        <w:tc>
          <w:tcPr>
            <w:tcW w:type="dxa" w:w="700"/>
          </w:tcPr>
          <w:p>
            <w:pPr>
              <w:spacing w:after="40" w:before="40"/>
            </w:pPr>
            <w:r>
              <w:rPr>
                <w:rFonts w:ascii="Calibri" w:cs="Calibri" w:eastAsia="Calibri" w:hAnsi="Calibri"/>
                <w:b w:val="false"/>
                <w:bCs w:val="false"/>
                <w:sz w:val="19"/>
                <w:szCs w:val="19"/>
              </w:rPr>
              <w:t xml:space="preserve">2</w:t>
            </w:r>
          </w:p>
        </w:tc>
        <w:tc>
          <w:tcPr>
            <w:tcW w:type="dxa" w:w="8326"/>
          </w:tcPr>
          <w:p>
            <w:pPr>
              <w:spacing w:after="40" w:before="40"/>
            </w:pPr>
            <w:r>
              <w:rPr>
                <w:rFonts w:ascii="Calibri" w:cs="Calibri" w:eastAsia="Calibri" w:hAnsi="Calibri"/>
                <w:b w:val="false"/>
                <w:bCs w:val="false"/>
                <w:sz w:val="19"/>
                <w:szCs w:val="19"/>
              </w:rPr>
              <w:t xml:space="preserve">Monthly split. The FS repeats "(April 25 / Total LY Sales Qty) x forecast Qty" for all twelve months. Built so each month uses its own figure, which is what the FS worked example shows. Please confirm.</w:t>
            </w:r>
          </w:p>
        </w:tc>
      </w:tr>
      <w:tr>
        <w:tc>
          <w:tcPr>
            <w:tcW w:type="dxa" w:w="700"/>
          </w:tcPr>
          <w:p>
            <w:pPr>
              <w:spacing w:after="40" w:before="40"/>
            </w:pPr>
            <w:r>
              <w:rPr>
                <w:rFonts w:ascii="Calibri" w:cs="Calibri" w:eastAsia="Calibri" w:hAnsi="Calibri"/>
                <w:b w:val="false"/>
                <w:bCs w:val="false"/>
                <w:sz w:val="19"/>
                <w:szCs w:val="19"/>
              </w:rPr>
              <w:t xml:space="preserve">3</w:t>
            </w:r>
          </w:p>
        </w:tc>
        <w:tc>
          <w:tcPr>
            <w:tcW w:type="dxa" w:w="8326"/>
          </w:tcPr>
          <w:p>
            <w:pPr>
              <w:spacing w:after="40" w:before="40"/>
            </w:pPr>
            <w:r>
              <w:rPr>
                <w:rFonts w:ascii="Calibri" w:cs="Calibri" w:eastAsia="Calibri" w:hAnsi="Calibri"/>
                <w:b w:val="false"/>
                <w:bCs w:val="false"/>
                <w:sz w:val="19"/>
                <w:szCs w:val="19"/>
              </w:rPr>
              <w:t xml:space="preserve">Financial Year field. The FS draws it as two boxes, From 2026 and To 2027. It has been built as a single field entered as 2026-2027. Please confirm this is acceptable, or the screen will be changed.</w:t>
            </w:r>
          </w:p>
        </w:tc>
      </w:tr>
      <w:tr>
        <w:tc>
          <w:tcPr>
            <w:tcW w:type="dxa" w:w="700"/>
          </w:tcPr>
          <w:p>
            <w:pPr>
              <w:spacing w:after="40" w:before="40"/>
            </w:pPr>
            <w:r>
              <w:rPr>
                <w:rFonts w:ascii="Calibri" w:cs="Calibri" w:eastAsia="Calibri" w:hAnsi="Calibri"/>
                <w:b w:val="false"/>
                <w:bCs w:val="false"/>
                <w:sz w:val="19"/>
                <w:szCs w:val="19"/>
              </w:rPr>
              <w:t xml:space="preserve">4</w:t>
            </w:r>
          </w:p>
        </w:tc>
        <w:tc>
          <w:tcPr>
            <w:tcW w:type="dxa" w:w="8326"/>
          </w:tcPr>
          <w:p>
            <w:pPr>
              <w:spacing w:after="40" w:before="40"/>
            </w:pPr>
            <w:r>
              <w:rPr>
                <w:rFonts w:ascii="Calibri" w:cs="Calibri" w:eastAsia="Calibri" w:hAnsi="Calibri"/>
                <w:b w:val="false"/>
                <w:bCs w:val="false"/>
                <w:sz w:val="19"/>
                <w:szCs w:val="19"/>
              </w:rPr>
              <w:t xml:space="preserve">Legacy data is all or nothing for the whole year. There is no option to take part of the year from uploaded history and part from live invoices. Please confirm this is sufficient for cutover.</w:t>
            </w:r>
          </w:p>
        </w:tc>
      </w:tr>
      <w:tr>
        <w:tc>
          <w:tcPr>
            <w:tcW w:type="dxa" w:w="700"/>
          </w:tcPr>
          <w:p>
            <w:pPr>
              <w:spacing w:after="40" w:before="40"/>
            </w:pPr>
            <w:r>
              <w:rPr>
                <w:rFonts w:ascii="Calibri" w:cs="Calibri" w:eastAsia="Calibri" w:hAnsi="Calibri"/>
                <w:b w:val="false"/>
                <w:bCs w:val="false"/>
                <w:sz w:val="19"/>
                <w:szCs w:val="19"/>
              </w:rPr>
              <w:t xml:space="preserve">5</w:t>
            </w:r>
          </w:p>
        </w:tc>
        <w:tc>
          <w:tcPr>
            <w:tcW w:type="dxa" w:w="8326"/>
          </w:tcPr>
          <w:p>
            <w:pPr>
              <w:spacing w:after="40" w:before="40"/>
            </w:pPr>
            <w:r>
              <w:rPr>
                <w:rFonts w:ascii="Calibri" w:cs="Calibri" w:eastAsia="Calibri" w:hAnsi="Calibri"/>
                <w:b w:val="false"/>
                <w:bCs w:val="false"/>
                <w:sz w:val="19"/>
                <w:szCs w:val="19"/>
              </w:rPr>
              <w:t xml:space="preserve">Uploaded history year. The Year column on the history upload is treated as the year the financial year starts in, so Year 2025 means April 2025 to March 2026. Please confirm, as a different reading would place every figure nine months out.</w:t>
            </w:r>
          </w:p>
        </w:tc>
      </w:tr>
      <w:tr>
        <w:tc>
          <w:tcPr>
            <w:tcW w:type="dxa" w:w="700"/>
          </w:tcPr>
          <w:p>
            <w:pPr>
              <w:spacing w:after="40" w:before="40"/>
            </w:pPr>
            <w:r>
              <w:rPr>
                <w:rFonts w:ascii="Calibri" w:cs="Calibri" w:eastAsia="Calibri" w:hAnsi="Calibri"/>
                <w:b w:val="false"/>
                <w:bCs w:val="false"/>
                <w:sz w:val="19"/>
                <w:szCs w:val="19"/>
              </w:rPr>
              <w:t xml:space="preserve">6</w:t>
            </w:r>
          </w:p>
        </w:tc>
        <w:tc>
          <w:tcPr>
            <w:tcW w:type="dxa" w:w="8326"/>
          </w:tcPr>
          <w:p>
            <w:pPr>
              <w:spacing w:after="40" w:before="40"/>
            </w:pPr>
            <w:r>
              <w:rPr>
                <w:rFonts w:ascii="Calibri" w:cs="Calibri" w:eastAsia="Calibri" w:hAnsi="Calibri"/>
                <w:b w:val="false"/>
                <w:bCs w:val="false"/>
                <w:sz w:val="19"/>
                <w:szCs w:val="19"/>
              </w:rPr>
              <w:t xml:space="preserve">Material tracking is not applied when the Legacy box is ticked, on the assumption uploaded history is already stated per material. Please confirm.</w:t>
            </w:r>
          </w:p>
        </w:tc>
      </w:tr>
      <w:tr>
        <w:tc>
          <w:tcPr>
            <w:tcW w:type="dxa" w:w="700"/>
          </w:tcPr>
          <w:p>
            <w:pPr>
              <w:spacing w:after="40" w:before="40"/>
            </w:pPr>
            <w:r>
              <w:rPr>
                <w:rFonts w:ascii="Calibri" w:cs="Calibri" w:eastAsia="Calibri" w:hAnsi="Calibri"/>
                <w:b w:val="false"/>
                <w:bCs w:val="false"/>
                <w:sz w:val="19"/>
                <w:szCs w:val="19"/>
              </w:rPr>
              <w:t xml:space="preserve">7</w:t>
            </w:r>
          </w:p>
        </w:tc>
        <w:tc>
          <w:tcPr>
            <w:tcW w:type="dxa" w:w="8326"/>
          </w:tcPr>
          <w:p>
            <w:pPr>
              <w:spacing w:after="40" w:before="40"/>
            </w:pPr>
            <w:r>
              <w:rPr>
                <w:rFonts w:ascii="Calibri" w:cs="Calibri" w:eastAsia="Calibri" w:hAnsi="Calibri"/>
                <w:b w:val="false"/>
                <w:bCs w:val="false"/>
                <w:sz w:val="19"/>
                <w:szCs w:val="19"/>
              </w:rPr>
              <w:t xml:space="preserve">The FS annual sheet shows one tonnage option, net weight. An earlier version also had gross weight. Please confirm gross weight is dropped.</w:t>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2026-08-23T10:01:14.066Z</dcterms:created>
  <dcterms:modified xsi:type="dcterms:W3CDTF">2026-08-23T10:01:14.091Z</dcterms:modified>
</cp:coreProperties>
</file>

<file path=docProps/custom.xml><?xml version="1.0" encoding="utf-8"?>
<Properties xmlns="http://schemas.openxmlformats.org/officeDocument/2006/custom-properties" xmlns:vt="http://schemas.openxmlformats.org/officeDocument/2006/docPropsVTypes"/>
</file>