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2"/>
          <w:szCs w:val="32"/>
        </w:rPr>
        <w:t xml:space="preserve">ZFORECAST (Adhesive) — Development Assumptions and Open Queries</w:t>
      </w:r>
    </w:p>
    <w:p>
      <w:pPr>
        <w:pBdr>
          <w:bottom w:val="single" w:color="1F3864" w:sz="8" w:space="6"/>
        </w:pBdr>
        <w:spacing w:after="200"/>
      </w:pPr>
      <w:r>
        <w:rPr>
          <w:rFonts w:ascii="Calibri" w:cs="Calibri" w:eastAsia="Calibri" w:hAnsi="Calibri"/>
          <w:i/>
          <w:iCs/>
          <w:color w:val="595959"/>
          <w:sz w:val="19"/>
          <w:szCs w:val="19"/>
        </w:rPr>
        <w:t xml:space="preserve">For confirmation by the functional team prior to development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color="auto" w:val="clear"/>
          </w:tcPr>
          <w:p>
            <w:pPr>
              <w:spacing w:after="40" w:before="40"/>
            </w:pPr>
            <w:r>
              <w:rPr>
                <w:rFonts w:ascii="Calibri" w:cs="Calibri" w:eastAsia="Calibri" w:hAnsi="Calibri"/>
                <w:b/>
                <w:bCs/>
                <w:sz w:val="19"/>
                <w:szCs w:val="19"/>
              </w:rPr>
              <w:t xml:space="preserve">Item</w:t>
            </w:r>
          </w:p>
        </w:tc>
        <w:tc>
          <w:tcPr>
            <w:tcW w:type="dxa" w:w="6626"/>
            <w:shd w:fill="D9D9D9" w:color="auto" w:val="clear"/>
          </w:tcPr>
          <w:p>
            <w:pPr>
              <w:spacing w:after="40" w:before="40"/>
            </w:pPr>
            <w:r>
              <w:rPr>
                <w:rFonts w:ascii="Calibri" w:cs="Calibri" w:eastAsia="Calibri" w:hAnsi="Calibri"/>
                <w:b/>
                <w:bCs/>
                <w:sz w:val="19"/>
                <w:szCs w:val="19"/>
              </w:rPr>
              <w:t xml:space="preserve">Detail</w:t>
            </w:r>
          </w:p>
        </w:tc>
      </w:tr>
      <w:tr>
        <w:tc>
          <w:tcPr>
            <w:tcW w:type="dxa" w:w="2400"/>
          </w:tcPr>
          <w:p>
            <w:pPr>
              <w:spacing w:after="40" w:before="40"/>
            </w:pPr>
            <w:r>
              <w:rPr>
                <w:rFonts w:ascii="Calibri" w:cs="Calibri" w:eastAsia="Calibri" w:hAnsi="Calibri"/>
                <w:b w:val="false"/>
                <w:bCs w:val="false"/>
                <w:sz w:val="19"/>
                <w:szCs w:val="19"/>
              </w:rPr>
              <w:t xml:space="preserve">Client</w:t>
            </w:r>
          </w:p>
        </w:tc>
        <w:tc>
          <w:tcPr>
            <w:tcW w:type="dxa" w:w="6626"/>
          </w:tcPr>
          <w:p>
            <w:pPr>
              <w:spacing w:after="40" w:before="40"/>
            </w:pPr>
            <w:r>
              <w:rPr>
                <w:rFonts w:ascii="Calibri" w:cs="Calibri" w:eastAsia="Calibri" w:hAnsi="Calibri"/>
                <w:b w:val="false"/>
                <w:bCs w:val="false"/>
                <w:sz w:val="19"/>
                <w:szCs w:val="19"/>
              </w:rPr>
              <w:t xml:space="preserve">Astral Limited</w:t>
            </w:r>
          </w:p>
        </w:tc>
      </w:tr>
      <w:tr>
        <w:tc>
          <w:tcPr>
            <w:tcW w:type="dxa" w:w="2400"/>
          </w:tcPr>
          <w:p>
            <w:pPr>
              <w:spacing w:after="40" w:before="40"/>
            </w:pPr>
            <w:r>
              <w:rPr>
                <w:rFonts w:ascii="Calibri" w:cs="Calibri" w:eastAsia="Calibri" w:hAnsi="Calibri"/>
                <w:b w:val="false"/>
                <w:bCs w:val="false"/>
                <w:sz w:val="19"/>
                <w:szCs w:val="19"/>
              </w:rPr>
              <w:t xml:space="preserve">Project</w:t>
            </w:r>
          </w:p>
        </w:tc>
        <w:tc>
          <w:tcPr>
            <w:tcW w:type="dxa" w:w="6626"/>
          </w:tcPr>
          <w:p>
            <w:pPr>
              <w:spacing w:after="40" w:before="40"/>
            </w:pPr>
            <w:r>
              <w:rPr>
                <w:rFonts w:ascii="Calibri" w:cs="Calibri" w:eastAsia="Calibri" w:hAnsi="Calibri"/>
                <w:b w:val="false"/>
                <w:bCs w:val="false"/>
                <w:sz w:val="19"/>
                <w:szCs w:val="19"/>
              </w:rPr>
              <w:t xml:space="preserve">UDAY</w:t>
            </w:r>
          </w:p>
        </w:tc>
      </w:tr>
      <w:tr>
        <w:tc>
          <w:tcPr>
            <w:tcW w:type="dxa" w:w="2400"/>
          </w:tcPr>
          <w:p>
            <w:pPr>
              <w:spacing w:after="40" w:before="40"/>
            </w:pPr>
            <w:r>
              <w:rPr>
                <w:rFonts w:ascii="Calibri" w:cs="Calibri" w:eastAsia="Calibri" w:hAnsi="Calibri"/>
                <w:b w:val="false"/>
                <w:bCs w:val="false"/>
                <w:sz w:val="19"/>
                <w:szCs w:val="19"/>
              </w:rPr>
              <w:t xml:space="preserve">Division</w:t>
            </w:r>
          </w:p>
        </w:tc>
        <w:tc>
          <w:tcPr>
            <w:tcW w:type="dxa" w:w="6626"/>
          </w:tcPr>
          <w:p>
            <w:pPr>
              <w:spacing w:after="40" w:before="40"/>
            </w:pPr>
            <w:r>
              <w:rPr>
                <w:rFonts w:ascii="Calibri" w:cs="Calibri" w:eastAsia="Calibri" w:hAnsi="Calibri"/>
                <w:b w:val="false"/>
                <w:bCs w:val="false"/>
                <w:sz w:val="19"/>
                <w:szCs w:val="19"/>
              </w:rPr>
              <w:t xml:space="preserve">Adhesive</w:t>
            </w:r>
          </w:p>
        </w:tc>
      </w:tr>
      <w:tr>
        <w:tc>
          <w:tcPr>
            <w:tcW w:type="dxa" w:w="2400"/>
          </w:tcPr>
          <w:p>
            <w:pPr>
              <w:spacing w:after="40" w:before="40"/>
            </w:pPr>
            <w:r>
              <w:rPr>
                <w:rFonts w:ascii="Calibri" w:cs="Calibri" w:eastAsia="Calibri" w:hAnsi="Calibri"/>
                <w:b w:val="false"/>
                <w:bCs w:val="false"/>
                <w:sz w:val="19"/>
                <w:szCs w:val="19"/>
              </w:rPr>
              <w:t xml:space="preserve">Module</w:t>
            </w:r>
          </w:p>
        </w:tc>
        <w:tc>
          <w:tcPr>
            <w:tcW w:type="dxa" w:w="6626"/>
          </w:tcPr>
          <w:p>
            <w:pPr>
              <w:spacing w:after="40" w:before="40"/>
            </w:pPr>
            <w:r>
              <w:rPr>
                <w:rFonts w:ascii="Calibri" w:cs="Calibri" w:eastAsia="Calibri" w:hAnsi="Calibri"/>
                <w:b w:val="false"/>
                <w:bCs w:val="false"/>
                <w:sz w:val="19"/>
                <w:szCs w:val="19"/>
              </w:rPr>
              <w:t xml:space="preserve">PP / SD</w:t>
            </w:r>
          </w:p>
        </w:tc>
      </w:tr>
      <w:tr>
        <w:tc>
          <w:tcPr>
            <w:tcW w:type="dxa" w:w="2400"/>
          </w:tcPr>
          <w:p>
            <w:pPr>
              <w:spacing w:after="40" w:before="40"/>
            </w:pPr>
            <w:r>
              <w:rPr>
                <w:rFonts w:ascii="Calibri" w:cs="Calibri" w:eastAsia="Calibri" w:hAnsi="Calibri"/>
                <w:b w:val="false"/>
                <w:bCs w:val="false"/>
                <w:sz w:val="19"/>
                <w:szCs w:val="19"/>
              </w:rPr>
              <w:t xml:space="preserve">WRICEF / Object</w:t>
            </w:r>
          </w:p>
        </w:tc>
        <w:tc>
          <w:tcPr>
            <w:tcW w:type="dxa" w:w="6626"/>
          </w:tcPr>
          <w:p>
            <w:pPr>
              <w:spacing w:after="40" w:before="40"/>
            </w:pPr>
            <w:r>
              <w:rPr>
                <w:rFonts w:ascii="Calibri" w:cs="Calibri" w:eastAsia="Calibri" w:hAnsi="Calibri"/>
                <w:b w:val="false"/>
                <w:bCs w:val="false"/>
                <w:sz w:val="19"/>
                <w:szCs w:val="19"/>
              </w:rPr>
              <w:t xml:space="preserve">WRICEF ID-2A  —  ZFORECAST (Annual, Quarterly and Monthly Forecasting)</w:t>
            </w:r>
          </w:p>
        </w:tc>
      </w:tr>
      <w:tr>
        <w:tc>
          <w:tcPr>
            <w:tcW w:type="dxa" w:w="2400"/>
          </w:tcPr>
          <w:p>
            <w:pPr>
              <w:spacing w:after="40" w:before="40"/>
            </w:pPr>
            <w:r>
              <w:rPr>
                <w:rFonts w:ascii="Calibri" w:cs="Calibri" w:eastAsia="Calibri" w:hAnsi="Calibri"/>
                <w:b w:val="false"/>
                <w:bCs w:val="false"/>
                <w:sz w:val="19"/>
                <w:szCs w:val="19"/>
              </w:rPr>
              <w:t xml:space="preserve">Reference document</w:t>
            </w:r>
          </w:p>
        </w:tc>
        <w:tc>
          <w:tcPr>
            <w:tcW w:type="dxa" w:w="6626"/>
          </w:tcPr>
          <w:p>
            <w:pPr>
              <w:spacing w:after="40" w:before="40"/>
            </w:pPr>
            <w:r>
              <w:rPr>
                <w:rFonts w:ascii="Calibri" w:cs="Calibri" w:eastAsia="Calibri" w:hAnsi="Calibri"/>
                <w:b w:val="false"/>
                <w:bCs w:val="false"/>
                <w:sz w:val="19"/>
                <w:szCs w:val="19"/>
              </w:rPr>
              <w:t xml:space="preserve">WRICEF ID-2A Forecast Template-Adhesive.xlsx, dated 14.08.2026</w:t>
            </w:r>
          </w:p>
        </w:tc>
      </w:tr>
      <w:tr>
        <w:tc>
          <w:tcPr>
            <w:tcW w:type="dxa" w:w="2400"/>
          </w:tcPr>
          <w:p>
            <w:pPr>
              <w:spacing w:after="40" w:before="40"/>
            </w:pPr>
            <w:r>
              <w:rPr>
                <w:rFonts w:ascii="Calibri" w:cs="Calibri" w:eastAsia="Calibri" w:hAnsi="Calibri"/>
                <w:b w:val="false"/>
                <w:bCs w:val="false"/>
                <w:sz w:val="19"/>
                <w:szCs w:val="19"/>
              </w:rPr>
              <w:t xml:space="preserve">Purpose</w:t>
            </w:r>
          </w:p>
        </w:tc>
        <w:tc>
          <w:tcPr>
            <w:tcW w:type="dxa" w:w="6626"/>
          </w:tcPr>
          <w:p>
            <w:pPr>
              <w:spacing w:after="40" w:before="40"/>
            </w:pPr>
            <w:r>
              <w:rPr>
                <w:rFonts w:ascii="Calibri" w:cs="Calibri" w:eastAsia="Calibri" w:hAnsi="Calibri"/>
                <w:b w:val="false"/>
                <w:bCs w:val="false"/>
                <w:sz w:val="19"/>
                <w:szCs w:val="19"/>
              </w:rPr>
              <w:t xml:space="preserve">Development assumptions for confirmation, and open queries for resolution</w:t>
            </w:r>
          </w:p>
        </w:tc>
      </w:tr>
      <w:tr>
        <w:tc>
          <w:tcPr>
            <w:tcW w:type="dxa" w:w="2400"/>
          </w:tcPr>
          <w:p>
            <w:pPr>
              <w:spacing w:after="40" w:before="40"/>
            </w:pPr>
            <w:r>
              <w:rPr>
                <w:rFonts w:ascii="Calibri" w:cs="Calibri" w:eastAsia="Calibri" w:hAnsi="Calibri"/>
                <w:b w:val="false"/>
                <w:bCs w:val="false"/>
                <w:sz w:val="19"/>
                <w:szCs w:val="19"/>
              </w:rPr>
              <w:t xml:space="preserve">Status of BRD</w:t>
            </w:r>
          </w:p>
        </w:tc>
        <w:tc>
          <w:tcPr>
            <w:tcW w:type="dxa" w:w="6626"/>
          </w:tcPr>
          <w:p>
            <w:pPr>
              <w:spacing w:after="40" w:before="40"/>
            </w:pPr>
            <w:r>
              <w:rPr>
                <w:rFonts w:ascii="Calibri" w:cs="Calibri" w:eastAsia="Calibri" w:hAnsi="Calibri"/>
                <w:b w:val="false"/>
                <w:bCs w:val="false"/>
                <w:sz w:val="19"/>
                <w:szCs w:val="19"/>
              </w:rPr>
              <w:t xml:space="preserve">Draft — no message, authorisation or testing sections; no version or approval record</w:t>
            </w:r>
          </w:p>
        </w:tc>
      </w:tr>
    </w:tbl>
    <w:p>
      <w:pPr>
        <w:pStyle w:val="Heading1"/>
        <w:spacing w:after="140" w:before="300"/>
      </w:pPr>
      <w:r>
        <w:rPr>
          <w:rFonts w:ascii="Calibri" w:cs="Calibri" w:eastAsia="Calibri" w:hAnsi="Calibri"/>
          <w:b/>
          <w:bCs/>
          <w:color w:val="1F3864"/>
          <w:sz w:val="26"/>
          <w:szCs w:val="26"/>
        </w:rPr>
        <w:t xml:space="preserve">1.  Assumptions</w:t>
      </w:r>
    </w:p>
    <w:p>
      <w:pPr>
        <w:spacing w:after="60" w:before="60"/>
      </w:pPr>
      <w:r>
        <w:rPr>
          <w:rFonts w:ascii="Calibri" w:cs="Calibri" w:eastAsia="Calibri" w:hAnsi="Calibri"/>
          <w:b w:val="false"/>
          <w:bCs w:val="false"/>
          <w:i/>
          <w:iCs/>
          <w:sz w:val="19"/>
          <w:szCs w:val="19"/>
        </w:rPr>
        <w:t xml:space="preserve">The points below are the assumptions on which development will proceed. Any assumption not corrected in the "Confirmed / Correction" column will be treated as agreed and will be built as stated. Where an assumption states "Verified", the formula has been reconciled against the worked example in the BRD spreadsheet.</w:t>
      </w:r>
    </w:p>
    <w:p>
      <w:pPr>
        <w:pStyle w:val="Heading2"/>
        <w:spacing w:after="100" w:before="220"/>
      </w:pPr>
      <w:r>
        <w:rPr>
          <w:rFonts w:ascii="Calibri" w:cs="Calibri" w:eastAsia="Calibri" w:hAnsi="Calibri"/>
          <w:b/>
          <w:bCs/>
          <w:color w:val="2E5496"/>
          <w:sz w:val="22"/>
          <w:szCs w:val="22"/>
        </w:rPr>
        <w:t xml:space="preserve">1. Scope and Object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B01</w:t>
            </w:r>
          </w:p>
        </w:tc>
        <w:tc>
          <w:tcPr>
            <w:tcW w:type="dxa" w:w="6126"/>
          </w:tcPr>
          <w:p>
            <w:pPr>
              <w:spacing w:after="40" w:before="40"/>
            </w:pPr>
            <w:r>
              <w:rPr>
                <w:rFonts w:ascii="Calibri" w:cs="Calibri" w:eastAsia="Calibri" w:hAnsi="Calibri"/>
                <w:b w:val="false"/>
                <w:bCs w:val="false"/>
                <w:sz w:val="19"/>
                <w:szCs w:val="19"/>
              </w:rPr>
              <w:t xml:space="preserve">This object covers the Adhesive division only. The items noted on sheet "Sheet4" under Pipes division — depot sales inclusion, plant-to-depot relation (ZSD_PLANT_PREF), storage location exclusion (ZSD_LGORT_EXCL), deficit from open sales orders and STOs, and the optional growth factor — are treated as OUT of scope. See Query Q11.</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B02</w:t>
            </w:r>
          </w:p>
        </w:tc>
        <w:tc>
          <w:tcPr>
            <w:tcW w:type="dxa" w:w="6126"/>
          </w:tcPr>
          <w:p>
            <w:pPr>
              <w:spacing w:after="40" w:before="40"/>
            </w:pPr>
            <w:r>
              <w:rPr>
                <w:rFonts w:ascii="Calibri" w:cs="Calibri" w:eastAsia="Calibri" w:hAnsi="Calibri"/>
                <w:b w:val="false"/>
                <w:bCs w:val="false"/>
                <w:sz w:val="19"/>
                <w:szCs w:val="19"/>
              </w:rPr>
              <w:t xml:space="preserve">Four executables are delivered: the forecast generation program with three planning modes, the final forecast report, and one upload program covering all three upload formats through a mode selection.</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B03</w:t>
            </w:r>
          </w:p>
        </w:tc>
        <w:tc>
          <w:tcPr>
            <w:tcW w:type="dxa" w:w="6126"/>
          </w:tcPr>
          <w:p>
            <w:pPr>
              <w:spacing w:after="40" w:before="40"/>
            </w:pPr>
            <w:r>
              <w:rPr>
                <w:rFonts w:ascii="Calibri" w:cs="Calibri" w:eastAsia="Calibri" w:hAnsi="Calibri"/>
                <w:b w:val="false"/>
                <w:bCs w:val="false"/>
                <w:sz w:val="19"/>
                <w:szCs w:val="19"/>
              </w:rPr>
              <w:t xml:space="preserve">All eight custom table names proposed in the BRD exceed the SAP 16-character limit for database tables and cannot be created as written. Renamed equivalents are used throughout. See Query Q2.</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2. Financial Year and Period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B04</w:t>
            </w:r>
          </w:p>
        </w:tc>
        <w:tc>
          <w:tcPr>
            <w:tcW w:type="dxa" w:w="6126"/>
          </w:tcPr>
          <w:p>
            <w:pPr>
              <w:spacing w:after="40" w:before="40"/>
            </w:pPr>
            <w:r>
              <w:rPr>
                <w:rFonts w:ascii="Calibri" w:cs="Calibri" w:eastAsia="Calibri" w:hAnsi="Calibri"/>
                <w:b w:val="false"/>
                <w:bCs w:val="false"/>
                <w:sz w:val="19"/>
                <w:szCs w:val="19"/>
              </w:rPr>
              <w:t xml:space="preserve">The financial year runs April to March. FY 2026-2027 means 01.04.2026 to 31.03.2027, with period M1 = April through M12 = March.</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B05</w:t>
            </w:r>
          </w:p>
        </w:tc>
        <w:tc>
          <w:tcPr>
            <w:tcW w:type="dxa" w:w="6126"/>
          </w:tcPr>
          <w:p>
            <w:pPr>
              <w:spacing w:after="40" w:before="40"/>
            </w:pPr>
            <w:r>
              <w:rPr>
                <w:rFonts w:ascii="Calibri" w:cs="Calibri" w:eastAsia="Calibri" w:hAnsi="Calibri"/>
                <w:b w:val="false"/>
                <w:bCs w:val="false"/>
                <w:sz w:val="19"/>
                <w:szCs w:val="19"/>
              </w:rPr>
              <w:t xml:space="preserve">Quarters are Q1 = April to June, Q2 = July to September, Q3 = October to December, Q4 = January to March. This matches the BRD statement that entering Q1 considers April 26 to June 26.</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B06</w:t>
            </w:r>
          </w:p>
        </w:tc>
        <w:tc>
          <w:tcPr>
            <w:tcW w:type="dxa" w:w="6126"/>
          </w:tcPr>
          <w:p>
            <w:pPr>
              <w:spacing w:after="40" w:before="40"/>
            </w:pPr>
            <w:r>
              <w:rPr>
                <w:rFonts w:ascii="Calibri" w:cs="Calibri" w:eastAsia="Calibri" w:hAnsi="Calibri"/>
                <w:b w:val="false"/>
                <w:bCs w:val="false"/>
                <w:sz w:val="19"/>
                <w:szCs w:val="19"/>
              </w:rPr>
              <w:t xml:space="preserve">Last year means the financial year immediately preceding the forecast financial year.</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B07</w:t>
            </w:r>
          </w:p>
        </w:tc>
        <w:tc>
          <w:tcPr>
            <w:tcW w:type="dxa" w:w="6126"/>
          </w:tcPr>
          <w:p>
            <w:pPr>
              <w:spacing w:after="40" w:before="40"/>
            </w:pPr>
            <w:r>
              <w:rPr>
                <w:rFonts w:ascii="Calibri" w:cs="Calibri" w:eastAsia="Calibri" w:hAnsi="Calibri"/>
                <w:b w:val="false"/>
                <w:bCs w:val="false"/>
                <w:sz w:val="19"/>
                <w:szCs w:val="19"/>
              </w:rPr>
              <w:t xml:space="preserve">For quarterly and monthly forecasting, "current year last 3 months" means the three calendar months immediately preceding the first month of the forecast quarter. For a Q1 forecast this falls into the previous financial year (January to March). See Query Q6.</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3. Sales History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B08</w:t>
            </w:r>
          </w:p>
        </w:tc>
        <w:tc>
          <w:tcPr>
            <w:tcW w:type="dxa" w:w="6126"/>
          </w:tcPr>
          <w:p>
            <w:pPr>
              <w:spacing w:after="40" w:before="40"/>
            </w:pPr>
            <w:r>
              <w:rPr>
                <w:rFonts w:ascii="Calibri" w:cs="Calibri" w:eastAsia="Calibri" w:hAnsi="Calibri"/>
                <w:b w:val="false"/>
                <w:bCs w:val="false"/>
                <w:sz w:val="19"/>
                <w:szCs w:val="19"/>
              </w:rPr>
              <w:t xml:space="preserve">Sales history is read from billing documents (VBRK / VBRP) aggregated by plant, material and calendar month.</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B09</w:t>
            </w:r>
          </w:p>
        </w:tc>
        <w:tc>
          <w:tcPr>
            <w:tcW w:type="dxa" w:w="6126"/>
          </w:tcPr>
          <w:p>
            <w:pPr>
              <w:spacing w:after="40" w:before="40"/>
            </w:pPr>
            <w:r>
              <w:rPr>
                <w:rFonts w:ascii="Calibri" w:cs="Calibri" w:eastAsia="Calibri" w:hAnsi="Calibri"/>
                <w:b w:val="false"/>
                <w:bCs w:val="false"/>
                <w:sz w:val="19"/>
                <w:szCs w:val="19"/>
              </w:rPr>
              <w:t xml:space="preserve">"Only normal sales should be considered" is implemented as an inclusion list of billing types held in a configuration table. Cancelled documents (VBRK-FKSTO) and documents not posted to accounting (VBRK-RFBSK not equal C) are excluded. Returns and credit memos are excluded rather than netted, since the requirement is a demand forecast and not a revenue calculation.</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B10</w:t>
            </w:r>
          </w:p>
        </w:tc>
        <w:tc>
          <w:tcPr>
            <w:tcW w:type="dxa" w:w="6126"/>
          </w:tcPr>
          <w:p>
            <w:pPr>
              <w:spacing w:after="40" w:before="40"/>
            </w:pPr>
            <w:r>
              <w:rPr>
                <w:rFonts w:ascii="Calibri" w:cs="Calibri" w:eastAsia="Calibri" w:hAnsi="Calibri"/>
                <w:b w:val="false"/>
                <w:bCs w:val="false"/>
                <w:sz w:val="19"/>
                <w:szCs w:val="19"/>
              </w:rPr>
              <w:t xml:space="preserve">"Last year direct sales to the customer" is taken to exclude intercompany and stock transfer billing, which is achieved through the same billing type configuration table.</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B11</w:t>
            </w:r>
          </w:p>
        </w:tc>
        <w:tc>
          <w:tcPr>
            <w:tcW w:type="dxa" w:w="6126"/>
          </w:tcPr>
          <w:p>
            <w:pPr>
              <w:spacing w:after="40" w:before="40"/>
            </w:pPr>
            <w:r>
              <w:rPr>
                <w:rFonts w:ascii="Calibri" w:cs="Calibri" w:eastAsia="Calibri" w:hAnsi="Calibri"/>
                <w:b w:val="false"/>
                <w:bCs w:val="false"/>
                <w:sz w:val="19"/>
                <w:szCs w:val="19"/>
              </w:rPr>
              <w:t xml:space="preserve">All quantities are converted to the material base unit of measure before aggregation.</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B12</w:t>
            </w:r>
          </w:p>
        </w:tc>
        <w:tc>
          <w:tcPr>
            <w:tcW w:type="dxa" w:w="6126"/>
          </w:tcPr>
          <w:p>
            <w:pPr>
              <w:spacing w:after="40" w:before="40"/>
            </w:pPr>
            <w:r>
              <w:rPr>
                <w:rFonts w:ascii="Calibri" w:cs="Calibri" w:eastAsia="Calibri" w:hAnsi="Calibri"/>
                <w:b w:val="false"/>
                <w:bCs w:val="false"/>
                <w:sz w:val="19"/>
                <w:szCs w:val="19"/>
              </w:rPr>
              <w:t xml:space="preserve">Historical periods that pre-date go-live are read from the uploaded sales history table rather than from VBRK / VBRP. A go-live date held in configuration determines the switch point. This is what BRD requirement J (last 3 years sales data upload) is for. See Query Q5.</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4. Annual Forecast (BRD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B13</w:t>
            </w:r>
          </w:p>
        </w:tc>
        <w:tc>
          <w:tcPr>
            <w:tcW w:type="dxa" w:w="6126"/>
          </w:tcPr>
          <w:p>
            <w:pPr>
              <w:spacing w:after="40" w:before="40"/>
            </w:pPr>
            <w:r>
              <w:rPr>
                <w:rFonts w:ascii="Calibri" w:cs="Calibri" w:eastAsia="Calibri" w:hAnsi="Calibri"/>
                <w:b w:val="false"/>
                <w:bCs w:val="false"/>
                <w:sz w:val="19"/>
                <w:szCs w:val="19"/>
              </w:rPr>
              <w:t xml:space="preserve">Annual Forecast Quantity = Total Last Year Sales Quantity x Load Factor of the product category. Verified against the BRD sample: 998,640 x 1.3 = 1,298,232.</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B14</w:t>
            </w:r>
          </w:p>
        </w:tc>
        <w:tc>
          <w:tcPr>
            <w:tcW w:type="dxa" w:w="6126"/>
          </w:tcPr>
          <w:p>
            <w:pPr>
              <w:spacing w:after="40" w:before="40"/>
            </w:pPr>
            <w:r>
              <w:rPr>
                <w:rFonts w:ascii="Calibri" w:cs="Calibri" w:eastAsia="Calibri" w:hAnsi="Calibri"/>
                <w:b w:val="false"/>
                <w:bCs w:val="false"/>
                <w:sz w:val="19"/>
                <w:szCs w:val="19"/>
              </w:rPr>
              <w:t xml:space="preserve">The annual forecast is distributed across the twelve forecast months by applying the load factor to each individual last-year month, not by dividing the annual total. Verified against the BRD sample: April 26 = 76,680 x 1.3 = 99,684.</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B15</w:t>
            </w:r>
          </w:p>
        </w:tc>
        <w:tc>
          <w:tcPr>
            <w:tcW w:type="dxa" w:w="6126"/>
          </w:tcPr>
          <w:p>
            <w:pPr>
              <w:spacing w:after="40" w:before="40"/>
            </w:pPr>
            <w:r>
              <w:rPr>
                <w:rFonts w:ascii="Calibri" w:cs="Calibri" w:eastAsia="Calibri" w:hAnsi="Calibri"/>
                <w:b w:val="false"/>
                <w:bCs w:val="false"/>
                <w:sz w:val="19"/>
                <w:szCs w:val="19"/>
              </w:rPr>
              <w:t xml:space="preserve">Where a material has no sales in the previous financial year, the annual forecast is zero and the material is still listed in the ALV so the user can see it was considered.</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5. Quarterly Forecast (BRD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B16</w:t>
            </w:r>
          </w:p>
        </w:tc>
        <w:tc>
          <w:tcPr>
            <w:tcW w:type="dxa" w:w="6126"/>
          </w:tcPr>
          <w:p>
            <w:pPr>
              <w:spacing w:after="40" w:before="40"/>
            </w:pPr>
            <w:r>
              <w:rPr>
                <w:rFonts w:ascii="Calibri" w:cs="Calibri" w:eastAsia="Calibri" w:hAnsi="Calibri"/>
                <w:b w:val="false"/>
                <w:bCs w:val="false"/>
                <w:sz w:val="19"/>
                <w:szCs w:val="19"/>
              </w:rPr>
              <w:t xml:space="preserve">Base Quantity = the greater of (last year same quarter total) and (current year last three months total). Verified against the BRD sample for products M1 and M2.</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B17</w:t>
            </w:r>
          </w:p>
        </w:tc>
        <w:tc>
          <w:tcPr>
            <w:tcW w:type="dxa" w:w="6126"/>
          </w:tcPr>
          <w:p>
            <w:pPr>
              <w:spacing w:after="40" w:before="40"/>
            </w:pPr>
            <w:r>
              <w:rPr>
                <w:rFonts w:ascii="Calibri" w:cs="Calibri" w:eastAsia="Calibri" w:hAnsi="Calibri"/>
                <w:b w:val="false"/>
                <w:bCs w:val="false"/>
                <w:sz w:val="19"/>
                <w:szCs w:val="19"/>
              </w:rPr>
              <w:t xml:space="preserve">Forecast Quantity = Base Quantity x Load Factor.</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B18</w:t>
            </w:r>
          </w:p>
        </w:tc>
        <w:tc>
          <w:tcPr>
            <w:tcW w:type="dxa" w:w="6126"/>
          </w:tcPr>
          <w:p>
            <w:pPr>
              <w:spacing w:after="40" w:before="40"/>
            </w:pPr>
            <w:r>
              <w:rPr>
                <w:rFonts w:ascii="Calibri" w:cs="Calibri" w:eastAsia="Calibri" w:hAnsi="Calibri"/>
                <w:b w:val="false"/>
                <w:bCs w:val="false"/>
                <w:sz w:val="19"/>
                <w:szCs w:val="19"/>
              </w:rPr>
              <w:t xml:space="preserve">Final Forecast Quantity = the greater of Forecast Quantity and Business Forecast, where Business Forecast is the quantity brought in by the sales forecast upload. Verified: M1 max(16,900 , 12,000) = 16,900 and M2 max(3,315 , 4,000) = 4,000.</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B19</w:t>
            </w:r>
          </w:p>
        </w:tc>
        <w:tc>
          <w:tcPr>
            <w:tcW w:type="dxa" w:w="6126"/>
          </w:tcPr>
          <w:p>
            <w:pPr>
              <w:spacing w:after="40" w:before="40"/>
            </w:pPr>
            <w:r>
              <w:rPr>
                <w:rFonts w:ascii="Calibri" w:cs="Calibri" w:eastAsia="Calibri" w:hAnsi="Calibri"/>
                <w:b w:val="false"/>
                <w:bCs w:val="false"/>
                <w:sz w:val="19"/>
                <w:szCs w:val="19"/>
              </w:rPr>
              <w:t xml:space="preserve">Where no sales forecast has been uploaded, Business Forecast is zero and the Final Forecast Quantity equals the calculated Forecast Quantity.</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B20</w:t>
            </w:r>
          </w:p>
        </w:tc>
        <w:tc>
          <w:tcPr>
            <w:tcW w:type="dxa" w:w="6126"/>
          </w:tcPr>
          <w:p>
            <w:pPr>
              <w:spacing w:after="40" w:before="40"/>
            </w:pPr>
            <w:r>
              <w:rPr>
                <w:rFonts w:ascii="Calibri" w:cs="Calibri" w:eastAsia="Calibri" w:hAnsi="Calibri"/>
                <w:b w:val="false"/>
                <w:bCs w:val="false"/>
                <w:sz w:val="19"/>
                <w:szCs w:val="19"/>
              </w:rPr>
              <w:t xml:space="preserve">The quarterly quantity is split across the three months of the quarter in proportion to the last-year monthly mix of the same quarter. Verified: M1 July = 3,000 / 10,000 x 16,900 = 5,070.</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B21</w:t>
            </w:r>
          </w:p>
        </w:tc>
        <w:tc>
          <w:tcPr>
            <w:tcW w:type="dxa" w:w="6126"/>
          </w:tcPr>
          <w:p>
            <w:pPr>
              <w:spacing w:after="40" w:before="40"/>
            </w:pPr>
            <w:r>
              <w:rPr>
                <w:rFonts w:ascii="Calibri" w:cs="Calibri" w:eastAsia="Calibri" w:hAnsi="Calibri"/>
                <w:b w:val="false"/>
                <w:bCs w:val="false"/>
                <w:sz w:val="19"/>
                <w:szCs w:val="19"/>
              </w:rPr>
              <w:t xml:space="preserve">Where the last year quarter total is zero, the quarterly quantity is divided equally across the three months, to avoid a division by zero.</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6. Monthly Forecast (BRD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B22</w:t>
            </w:r>
          </w:p>
        </w:tc>
        <w:tc>
          <w:tcPr>
            <w:tcW w:type="dxa" w:w="6126"/>
          </w:tcPr>
          <w:p>
            <w:pPr>
              <w:spacing w:after="40" w:before="40"/>
            </w:pPr>
            <w:r>
              <w:rPr>
                <w:rFonts w:ascii="Calibri" w:cs="Calibri" w:eastAsia="Calibri" w:hAnsi="Calibri"/>
                <w:b w:val="false"/>
                <w:bCs w:val="false"/>
                <w:sz w:val="19"/>
                <w:szCs w:val="19"/>
              </w:rPr>
              <w:t xml:space="preserve">Last Three Month Average = current year last three months total divided by three.</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B23</w:t>
            </w:r>
          </w:p>
        </w:tc>
        <w:tc>
          <w:tcPr>
            <w:tcW w:type="dxa" w:w="6126"/>
          </w:tcPr>
          <w:p>
            <w:pPr>
              <w:spacing w:after="40" w:before="40"/>
            </w:pPr>
            <w:r>
              <w:rPr>
                <w:rFonts w:ascii="Calibri" w:cs="Calibri" w:eastAsia="Calibri" w:hAnsi="Calibri"/>
                <w:b w:val="false"/>
                <w:bCs w:val="false"/>
                <w:sz w:val="19"/>
                <w:szCs w:val="19"/>
              </w:rPr>
              <w:t xml:space="preserve">Requirement Quantity = the greater of (last year same month quantity) and (Last Three Month Average x Load Factor). Verified: M1 max(3,000 , 5,633.33) = 5,633.33 and M2 max(1,200 , 801.67) = 1,200.</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B24</w:t>
            </w:r>
          </w:p>
        </w:tc>
        <w:tc>
          <w:tcPr>
            <w:tcW w:type="dxa" w:w="6126"/>
          </w:tcPr>
          <w:p>
            <w:pPr>
              <w:spacing w:after="40" w:before="40"/>
            </w:pPr>
            <w:r>
              <w:rPr>
                <w:rFonts w:ascii="Calibri" w:cs="Calibri" w:eastAsia="Calibri" w:hAnsi="Calibri"/>
                <w:b w:val="false"/>
                <w:bCs w:val="false"/>
                <w:sz w:val="19"/>
                <w:szCs w:val="19"/>
              </w:rPr>
              <w:t xml:space="preserve">Final Forecast Quantity = the greater of Requirement Quantity and Business Forecast. Verified: M3 max(604 , 1,700) = 1,700.</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7. Adjustments and Final Quantity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B25</w:t>
            </w:r>
          </w:p>
        </w:tc>
        <w:tc>
          <w:tcPr>
            <w:tcW w:type="dxa" w:w="6126"/>
          </w:tcPr>
          <w:p>
            <w:pPr>
              <w:spacing w:after="40" w:before="40"/>
            </w:pPr>
            <w:r>
              <w:rPr>
                <w:rFonts w:ascii="Calibri" w:cs="Calibri" w:eastAsia="Calibri" w:hAnsi="Calibri"/>
                <w:b w:val="false"/>
                <w:bCs w:val="false"/>
                <w:sz w:val="19"/>
                <w:szCs w:val="19"/>
              </w:rPr>
              <w:t xml:space="preserve">Additional quantities uploaded under BRD requirement I may be positive or negative, and are the mechanism for both addition and subtraction. Verified: M2 monthly 4,000 + (-10) = 3,990.</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B26</w:t>
            </w:r>
          </w:p>
        </w:tc>
        <w:tc>
          <w:tcPr>
            <w:tcW w:type="dxa" w:w="6126"/>
          </w:tcPr>
          <w:p>
            <w:pPr>
              <w:spacing w:after="40" w:before="40"/>
            </w:pPr>
            <w:r>
              <w:rPr>
                <w:rFonts w:ascii="Calibri" w:cs="Calibri" w:eastAsia="Calibri" w:hAnsi="Calibri"/>
                <w:b w:val="false"/>
                <w:bCs w:val="false"/>
                <w:sz w:val="19"/>
                <w:szCs w:val="19"/>
              </w:rPr>
              <w:t xml:space="preserve">Total Forecast = calculated Final Forecast Quantity + adjustment. Adjustments are stored in a separate table and never overwrite the calculated figure, so the audit trail of calculated versus adjusted is preserved.</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B27</w:t>
            </w:r>
          </w:p>
        </w:tc>
        <w:tc>
          <w:tcPr>
            <w:tcW w:type="dxa" w:w="6126"/>
          </w:tcPr>
          <w:p>
            <w:pPr>
              <w:spacing w:after="40" w:before="40"/>
            </w:pPr>
            <w:r>
              <w:rPr>
                <w:rFonts w:ascii="Calibri" w:cs="Calibri" w:eastAsia="Calibri" w:hAnsi="Calibri"/>
                <w:b w:val="false"/>
                <w:bCs w:val="false"/>
                <w:sz w:val="19"/>
                <w:szCs w:val="19"/>
              </w:rPr>
              <w:t xml:space="preserve">A reason is mandatory on every adjustment record, as stated in the BRD upload format.</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8. Product Category, Load Factor and Exclusions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B28</w:t>
            </w:r>
          </w:p>
        </w:tc>
        <w:tc>
          <w:tcPr>
            <w:tcW w:type="dxa" w:w="6126"/>
          </w:tcPr>
          <w:p>
            <w:pPr>
              <w:spacing w:after="40" w:before="40"/>
            </w:pPr>
            <w:r>
              <w:rPr>
                <w:rFonts w:ascii="Calibri" w:cs="Calibri" w:eastAsia="Calibri" w:hAnsi="Calibri"/>
                <w:b w:val="false"/>
                <w:bCs w:val="false"/>
                <w:sz w:val="19"/>
                <w:szCs w:val="19"/>
              </w:rPr>
              <w:t xml:space="preserve">The BRD gives two different field lists for the product category table (Plant / Material / Category / Load Factor in one place, Plant / Material / Quarter / Load Factor in another). These are reconciled into two tables: product category assigned per plant and material, and load factor maintained per plant, category, financial year and quarter. This satisfies the BRD requirement that quarter-wise load factors be maintained. See Query Q3.</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B29</w:t>
            </w:r>
          </w:p>
        </w:tc>
        <w:tc>
          <w:tcPr>
            <w:tcW w:type="dxa" w:w="6126"/>
          </w:tcPr>
          <w:p>
            <w:pPr>
              <w:spacing w:after="40" w:before="40"/>
            </w:pPr>
            <w:r>
              <w:rPr>
                <w:rFonts w:ascii="Calibri" w:cs="Calibri" w:eastAsia="Calibri" w:hAnsi="Calibri"/>
                <w:b w:val="false"/>
                <w:bCs w:val="false"/>
                <w:sz w:val="19"/>
                <w:szCs w:val="19"/>
              </w:rPr>
              <w:t xml:space="preserve">Where no load factor is found for a plant, category, year and quarter, the factor defaults to 1.0 and the line is flagged in the ALV rather than excluded.</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B30</w:t>
            </w:r>
          </w:p>
        </w:tc>
        <w:tc>
          <w:tcPr>
            <w:tcW w:type="dxa" w:w="6126"/>
          </w:tcPr>
          <w:p>
            <w:pPr>
              <w:spacing w:after="40" w:before="40"/>
            </w:pPr>
            <w:r>
              <w:rPr>
                <w:rFonts w:ascii="Calibri" w:cs="Calibri" w:eastAsia="Calibri" w:hAnsi="Calibri"/>
                <w:b w:val="false"/>
                <w:bCs w:val="false"/>
                <w:sz w:val="19"/>
                <w:szCs w:val="19"/>
              </w:rPr>
              <w:t xml:space="preserve">Materials listed in the exclusion table for a plant are skipped entirely and do not appear in the forecast.</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9. Forecast Number, Save and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B31</w:t>
            </w:r>
          </w:p>
        </w:tc>
        <w:tc>
          <w:tcPr>
            <w:tcW w:type="dxa" w:w="6126"/>
          </w:tcPr>
          <w:p>
            <w:pPr>
              <w:spacing w:after="40" w:before="40"/>
            </w:pPr>
            <w:r>
              <w:rPr>
                <w:rFonts w:ascii="Calibri" w:cs="Calibri" w:eastAsia="Calibri" w:hAnsi="Calibri"/>
                <w:b w:val="false"/>
                <w:bCs w:val="false"/>
                <w:sz w:val="19"/>
                <w:szCs w:val="19"/>
              </w:rPr>
              <w:t xml:space="preserve">The forecast number is drawn from an internal number range at the point of save, as stated in the BRD.</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B32</w:t>
            </w:r>
          </w:p>
        </w:tc>
        <w:tc>
          <w:tcPr>
            <w:tcW w:type="dxa" w:w="6126"/>
          </w:tcPr>
          <w:p>
            <w:pPr>
              <w:spacing w:after="40" w:before="40"/>
            </w:pPr>
            <w:r>
              <w:rPr>
                <w:rFonts w:ascii="Calibri" w:cs="Calibri" w:eastAsia="Calibri" w:hAnsi="Calibri"/>
                <w:b w:val="false"/>
                <w:bCs w:val="false"/>
                <w:sz w:val="19"/>
                <w:szCs w:val="19"/>
              </w:rPr>
              <w:t xml:space="preserve">The BRD rule that the same material may not be saved twice in a financial year is enforced by the database key of plant, material and financial year, rather than by a coded check. A duplicate save is therefore impossible by construction.</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B33</w:t>
            </w:r>
          </w:p>
        </w:tc>
        <w:tc>
          <w:tcPr>
            <w:tcW w:type="dxa" w:w="6126"/>
          </w:tcPr>
          <w:p>
            <w:pPr>
              <w:spacing w:after="40" w:before="40"/>
            </w:pPr>
            <w:r>
              <w:rPr>
                <w:rFonts w:ascii="Calibri" w:cs="Calibri" w:eastAsia="Calibri" w:hAnsi="Calibri"/>
                <w:b w:val="false"/>
                <w:bCs w:val="false"/>
                <w:sz w:val="19"/>
                <w:szCs w:val="19"/>
              </w:rPr>
              <w:t xml:space="preserve">Because of B32, revising a saved forecast requires the existing forecast to be deleted first. A deletion function is provided in the generation program, restricted by authorisation. See Query Q7.</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B34</w:t>
            </w:r>
          </w:p>
        </w:tc>
        <w:tc>
          <w:tcPr>
            <w:tcW w:type="dxa" w:w="6126"/>
          </w:tcPr>
          <w:p>
            <w:pPr>
              <w:spacing w:after="40" w:before="40"/>
            </w:pPr>
            <w:r>
              <w:rPr>
                <w:rFonts w:ascii="Calibri" w:cs="Calibri" w:eastAsia="Calibri" w:hAnsi="Calibri"/>
                <w:b w:val="false"/>
                <w:bCs w:val="false"/>
                <w:sz w:val="19"/>
                <w:szCs w:val="19"/>
              </w:rPr>
              <w:t xml:space="preserve">Quarterly and monthly planning are blocked unless an annual forecast already exists for the same plant, material and financial year, as stated in the BRD validations.</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10. Tonnage, MTS/MTO and Display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B35</w:t>
            </w:r>
          </w:p>
        </w:tc>
        <w:tc>
          <w:tcPr>
            <w:tcW w:type="dxa" w:w="6126"/>
          </w:tcPr>
          <w:p>
            <w:pPr>
              <w:spacing w:after="40" w:before="40"/>
            </w:pPr>
            <w:r>
              <w:rPr>
                <w:rFonts w:ascii="Calibri" w:cs="Calibri" w:eastAsia="Calibri" w:hAnsi="Calibri"/>
                <w:b w:val="false"/>
                <w:bCs w:val="false"/>
                <w:sz w:val="19"/>
                <w:szCs w:val="19"/>
              </w:rPr>
              <w:t xml:space="preserve">The tonnage checkboxes convert forecast quantity to weight using the material master net weight or gross weight, converted to tonnes. The two checkboxes are mutually exclusive and selecting both raises an error.</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B36</w:t>
            </w:r>
          </w:p>
        </w:tc>
        <w:tc>
          <w:tcPr>
            <w:tcW w:type="dxa" w:w="6126"/>
          </w:tcPr>
          <w:p>
            <w:pPr>
              <w:spacing w:after="40" w:before="40"/>
            </w:pPr>
            <w:r>
              <w:rPr>
                <w:rFonts w:ascii="Calibri" w:cs="Calibri" w:eastAsia="Calibri" w:hAnsi="Calibri"/>
                <w:b w:val="false"/>
                <w:bCs w:val="false"/>
                <w:sz w:val="19"/>
                <w:szCs w:val="19"/>
              </w:rPr>
              <w:t xml:space="preserve">Tonnage is a display-only column. The saved forecast is always stored in the material base unit of measure, never in tonnes.</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B37</w:t>
            </w:r>
          </w:p>
        </w:tc>
        <w:tc>
          <w:tcPr>
            <w:tcW w:type="dxa" w:w="6126"/>
          </w:tcPr>
          <w:p>
            <w:pPr>
              <w:spacing w:after="40" w:before="40"/>
            </w:pPr>
            <w:r>
              <w:rPr>
                <w:rFonts w:ascii="Calibri" w:cs="Calibri" w:eastAsia="Calibri" w:hAnsi="Calibri"/>
                <w:b w:val="false"/>
                <w:bCs w:val="false"/>
                <w:sz w:val="19"/>
                <w:szCs w:val="19"/>
              </w:rPr>
              <w:t xml:space="preserve">The MTS / MTO table is delivered as a maintainable configuration table and displayed as a column in the ALV. It does not influence any calculation, because the BRD does not state that it should. See Query Q8.</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11. Uploads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B38</w:t>
            </w:r>
          </w:p>
        </w:tc>
        <w:tc>
          <w:tcPr>
            <w:tcW w:type="dxa" w:w="6126"/>
          </w:tcPr>
          <w:p>
            <w:pPr>
              <w:spacing w:after="40" w:before="40"/>
            </w:pPr>
            <w:r>
              <w:rPr>
                <w:rFonts w:ascii="Calibri" w:cs="Calibri" w:eastAsia="Calibri" w:hAnsi="Calibri"/>
                <w:b w:val="false"/>
                <w:bCs w:val="false"/>
                <w:sz w:val="19"/>
                <w:szCs w:val="19"/>
              </w:rPr>
              <w:t xml:space="preserve">One upload program covers all three formats — historical sales data, sales (business) forecast, and forecast additions or subtractions — selected by a mode radio button. Each has a test-run option that validates without saving.</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B39</w:t>
            </w:r>
          </w:p>
        </w:tc>
        <w:tc>
          <w:tcPr>
            <w:tcW w:type="dxa" w:w="6126"/>
          </w:tcPr>
          <w:p>
            <w:pPr>
              <w:spacing w:after="40" w:before="40"/>
            </w:pPr>
            <w:r>
              <w:rPr>
                <w:rFonts w:ascii="Calibri" w:cs="Calibri" w:eastAsia="Calibri" w:hAnsi="Calibri"/>
                <w:b w:val="false"/>
                <w:bCs w:val="false"/>
                <w:sz w:val="19"/>
                <w:szCs w:val="19"/>
              </w:rPr>
              <w:t xml:space="preserve">Upload files are tab-delimited text. The BRD gives inconsistent layouts for the same upload in different sections (Forecast Number in one, Financial Year in another). The key used is plant, material, financial year and quarter or month; forecast number on the file is optional and used only for reconciliation. See Query Q10.</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12. Technical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B40</w:t>
            </w:r>
          </w:p>
        </w:tc>
        <w:tc>
          <w:tcPr>
            <w:tcW w:type="dxa" w:w="6126"/>
          </w:tcPr>
          <w:p>
            <w:pPr>
              <w:spacing w:after="40" w:before="40"/>
            </w:pPr>
            <w:r>
              <w:rPr>
                <w:rFonts w:ascii="Calibri" w:cs="Calibri" w:eastAsia="Calibri" w:hAnsi="Calibri"/>
                <w:b w:val="false"/>
                <w:bCs w:val="false"/>
                <w:sz w:val="19"/>
                <w:szCs w:val="19"/>
              </w:rPr>
              <w:t xml:space="preserve">All four executables are classic ABAP report programs with selection screens and ALV output, in line with the screen designs in the BRD. No module pool and no Fiori application.</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B41</w:t>
            </w:r>
          </w:p>
        </w:tc>
        <w:tc>
          <w:tcPr>
            <w:tcW w:type="dxa" w:w="6126"/>
          </w:tcPr>
          <w:p>
            <w:pPr>
              <w:spacing w:after="40" w:before="40"/>
            </w:pPr>
            <w:r>
              <w:rPr>
                <w:rFonts w:ascii="Calibri" w:cs="Calibri" w:eastAsia="Calibri" w:hAnsi="Calibri"/>
                <w:b w:val="false"/>
                <w:bCs w:val="false"/>
                <w:sz w:val="19"/>
                <w:szCs w:val="19"/>
              </w:rPr>
              <w:t xml:space="preserve">One authorisation object controls forecast generation, saving and deletion by plant and activity; display of the final report is checked separately.</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B42</w:t>
            </w:r>
          </w:p>
        </w:tc>
        <w:tc>
          <w:tcPr>
            <w:tcW w:type="dxa" w:w="6126"/>
          </w:tcPr>
          <w:p>
            <w:pPr>
              <w:spacing w:after="40" w:before="40"/>
            </w:pPr>
            <w:r>
              <w:rPr>
                <w:rFonts w:ascii="Calibri" w:cs="Calibri" w:eastAsia="Calibri" w:hAnsi="Calibri"/>
                <w:b w:val="false"/>
                <w:bCs w:val="false"/>
                <w:sz w:val="19"/>
                <w:szCs w:val="19"/>
              </w:rPr>
              <w:t xml:space="preserve">All calculation logic is held in a single class, shared by the generation program, the report and the upload, so the three can never diverge.</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1"/>
        <w:spacing w:after="140" w:before="300"/>
      </w:pPr>
      <w:r>
        <w:rPr>
          <w:rFonts w:ascii="Calibri" w:cs="Calibri" w:eastAsia="Calibri" w:hAnsi="Calibri"/>
          <w:b/>
          <w:bCs/>
          <w:color w:val="1F3864"/>
          <w:sz w:val="26"/>
          <w:szCs w:val="26"/>
        </w:rPr>
        <w:t xml:space="preserve">2.  Open Queries</w:t>
      </w:r>
    </w:p>
    <w:p>
      <w:pPr>
        <w:pStyle w:val="Heading2"/>
        <w:spacing w:after="100" w:before="220"/>
      </w:pPr>
      <w:r>
        <w:rPr>
          <w:rFonts w:ascii="Calibri" w:cs="Calibri" w:eastAsia="Calibri" w:hAnsi="Calibri"/>
          <w:b/>
          <w:bCs/>
          <w:color w:val="2E5496"/>
          <w:sz w:val="22"/>
          <w:szCs w:val="22"/>
        </w:rPr>
        <w:t xml:space="preserve">2.1  Blocking — required before development can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26"/>
        <w:gridCol w:w="1900"/>
        <w:gridCol w:w="18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4626"/>
            <w:shd w:fill="D9D9D9" w:color="auto" w:val="clear"/>
          </w:tcPr>
          <w:p>
            <w:pPr>
              <w:spacing w:after="40" w:before="40"/>
            </w:pPr>
            <w:r>
              <w:rPr>
                <w:rFonts w:ascii="Calibri" w:cs="Calibri" w:eastAsia="Calibri" w:hAnsi="Calibri"/>
                <w:b/>
                <w:bCs/>
                <w:sz w:val="19"/>
                <w:szCs w:val="19"/>
              </w:rPr>
              <w:t xml:space="preserve">Query</w:t>
            </w:r>
          </w:p>
        </w:tc>
        <w:tc>
          <w:tcPr>
            <w:tcW w:type="dxa" w:w="1900"/>
            <w:shd w:fill="D9D9D9" w:color="auto" w:val="clear"/>
          </w:tcPr>
          <w:p>
            <w:pPr>
              <w:spacing w:after="40" w:before="40"/>
            </w:pPr>
            <w:r>
              <w:rPr>
                <w:rFonts w:ascii="Calibri" w:cs="Calibri" w:eastAsia="Calibri" w:hAnsi="Calibri"/>
                <w:b/>
                <w:bCs/>
                <w:sz w:val="19"/>
                <w:szCs w:val="19"/>
              </w:rPr>
              <w:t xml:space="preserve">Impact if not answered</w:t>
            </w:r>
          </w:p>
        </w:tc>
        <w:tc>
          <w:tcPr>
            <w:tcW w:type="dxa" w:w="1800"/>
            <w:shd w:fill="D9D9D9" w:color="auto" w:val="clear"/>
          </w:tcPr>
          <w:p>
            <w:pPr>
              <w:spacing w:after="40" w:before="40"/>
            </w:pPr>
            <w:r>
              <w:rPr>
                <w:rFonts w:ascii="Calibri" w:cs="Calibri" w:eastAsia="Calibri" w:hAnsi="Calibri"/>
                <w:b/>
                <w:bCs/>
                <w:sz w:val="19"/>
                <w:szCs w:val="19"/>
              </w:rPr>
              <w:t xml:space="preserve">To be answered by</w:t>
            </w:r>
          </w:p>
        </w:tc>
      </w:tr>
      <w:tr>
        <w:tc>
          <w:tcPr>
            <w:tcW w:type="dxa" w:w="700"/>
          </w:tcPr>
          <w:p>
            <w:pPr>
              <w:spacing w:after="40" w:before="40"/>
            </w:pPr>
            <w:r>
              <w:rPr>
                <w:rFonts w:ascii="Calibri" w:cs="Calibri" w:eastAsia="Calibri" w:hAnsi="Calibri"/>
                <w:b w:val="false"/>
                <w:bCs w:val="false"/>
                <w:sz w:val="19"/>
                <w:szCs w:val="19"/>
              </w:rPr>
              <w:t xml:space="preserve">Q1</w:t>
            </w:r>
          </w:p>
        </w:tc>
        <w:tc>
          <w:tcPr>
            <w:tcW w:type="dxa" w:w="4626"/>
          </w:tcPr>
          <w:p>
            <w:pPr>
              <w:spacing w:after="40" w:before="40"/>
            </w:pPr>
            <w:r>
              <w:rPr>
                <w:rFonts w:ascii="Calibri" w:cs="Calibri" w:eastAsia="Calibri" w:hAnsi="Calibri"/>
                <w:b w:val="false"/>
                <w:bCs w:val="false"/>
                <w:sz w:val="19"/>
                <w:szCs w:val="19"/>
              </w:rPr>
              <w:t xml:space="preserve">Please confirm the development package, namespace, naming convention, and the development system and client for this object.</w:t>
            </w:r>
          </w:p>
        </w:tc>
        <w:tc>
          <w:tcPr>
            <w:tcW w:type="dxa" w:w="1900"/>
          </w:tcPr>
          <w:p>
            <w:pPr>
              <w:spacing w:after="40" w:before="40"/>
            </w:pPr>
            <w:r>
              <w:rPr>
                <w:rFonts w:ascii="Calibri" w:cs="Calibri" w:eastAsia="Calibri" w:hAnsi="Calibri"/>
                <w:b w:val="false"/>
                <w:bCs w:val="false"/>
                <w:sz w:val="19"/>
                <w:szCs w:val="19"/>
              </w:rPr>
              <w:t xml:space="preserve">No development object can be created.</w:t>
            </w:r>
          </w:p>
        </w:tc>
        <w:tc>
          <w:tcPr>
            <w:tcW w:type="dxa" w:w="1800"/>
          </w:tcPr>
          <w:p>
            <w:pPr>
              <w:spacing w:after="40" w:before="40"/>
            </w:pPr>
            <w:r>
              <w:rPr>
                <w:rFonts w:ascii="Calibri" w:cs="Calibri" w:eastAsia="Calibri" w:hAnsi="Calibri"/>
                <w:b w:val="false"/>
                <w:bCs w:val="false"/>
                <w:sz w:val="19"/>
                <w:szCs w:val="19"/>
              </w:rPr>
              <w:t xml:space="preserve">Project / Basis lead</w:t>
            </w:r>
          </w:p>
        </w:tc>
      </w:tr>
      <w:tr>
        <w:tc>
          <w:tcPr>
            <w:tcW w:type="dxa" w:w="700"/>
          </w:tcPr>
          <w:p>
            <w:pPr>
              <w:spacing w:after="40" w:before="40"/>
            </w:pPr>
            <w:r>
              <w:rPr>
                <w:rFonts w:ascii="Calibri" w:cs="Calibri" w:eastAsia="Calibri" w:hAnsi="Calibri"/>
                <w:b w:val="false"/>
                <w:bCs w:val="false"/>
                <w:sz w:val="19"/>
                <w:szCs w:val="19"/>
              </w:rPr>
              <w:t xml:space="preserve">Q2</w:t>
            </w:r>
          </w:p>
        </w:tc>
        <w:tc>
          <w:tcPr>
            <w:tcW w:type="dxa" w:w="4626"/>
          </w:tcPr>
          <w:p>
            <w:pPr>
              <w:spacing w:after="40" w:before="40"/>
            </w:pPr>
            <w:r>
              <w:rPr>
                <w:rFonts w:ascii="Calibri" w:cs="Calibri" w:eastAsia="Calibri" w:hAnsi="Calibri"/>
                <w:b w:val="false"/>
                <w:bCs w:val="false"/>
                <w:sz w:val="19"/>
                <w:szCs w:val="19"/>
              </w:rPr>
              <w:t xml:space="preserve">All eight table names in the BRD exceed the SAP 16-character limit for database tables (ZPP_FORECAST_YEAR is 17 characters, ZPP_PRODUCT_CATEGORY is 20) and cannot be created as written. Please approve the renamed tables listed in the technical object list.</w:t>
            </w:r>
          </w:p>
        </w:tc>
        <w:tc>
          <w:tcPr>
            <w:tcW w:type="dxa" w:w="1900"/>
          </w:tcPr>
          <w:p>
            <w:pPr>
              <w:spacing w:after="40" w:before="40"/>
            </w:pPr>
            <w:r>
              <w:rPr>
                <w:rFonts w:ascii="Calibri" w:cs="Calibri" w:eastAsia="Calibri" w:hAnsi="Calibri"/>
                <w:b w:val="false"/>
                <w:bCs w:val="false"/>
                <w:sz w:val="19"/>
                <w:szCs w:val="19"/>
              </w:rPr>
              <w:t xml:space="preserve">Data model cannot be built.</w:t>
            </w:r>
          </w:p>
        </w:tc>
        <w:tc>
          <w:tcPr>
            <w:tcW w:type="dxa" w:w="1800"/>
          </w:tcPr>
          <w:p>
            <w:pPr>
              <w:spacing w:after="40" w:before="40"/>
            </w:pPr>
            <w:r>
              <w:rPr>
                <w:rFonts w:ascii="Calibri" w:cs="Calibri" w:eastAsia="Calibri" w:hAnsi="Calibri"/>
                <w:b w:val="false"/>
                <w:bCs w:val="false"/>
                <w:sz w:val="19"/>
                <w:szCs w:val="19"/>
              </w:rPr>
              <w:t xml:space="preserve">Development lead / BRD author</w:t>
            </w:r>
          </w:p>
        </w:tc>
      </w:tr>
      <w:tr>
        <w:tc>
          <w:tcPr>
            <w:tcW w:type="dxa" w:w="700"/>
          </w:tcPr>
          <w:p>
            <w:pPr>
              <w:spacing w:after="40" w:before="40"/>
            </w:pPr>
            <w:r>
              <w:rPr>
                <w:rFonts w:ascii="Calibri" w:cs="Calibri" w:eastAsia="Calibri" w:hAnsi="Calibri"/>
                <w:b w:val="false"/>
                <w:bCs w:val="false"/>
                <w:sz w:val="19"/>
                <w:szCs w:val="19"/>
              </w:rPr>
              <w:t xml:space="preserve">Q3</w:t>
            </w:r>
          </w:p>
        </w:tc>
        <w:tc>
          <w:tcPr>
            <w:tcW w:type="dxa" w:w="4626"/>
          </w:tcPr>
          <w:p>
            <w:pPr>
              <w:spacing w:after="40" w:before="40"/>
            </w:pPr>
            <w:r>
              <w:rPr>
                <w:rFonts w:ascii="Calibri" w:cs="Calibri" w:eastAsia="Calibri" w:hAnsi="Calibri"/>
                <w:b w:val="false"/>
                <w:bCs w:val="false"/>
                <w:sz w:val="19"/>
                <w:szCs w:val="19"/>
              </w:rPr>
              <w:t xml:space="preserve">The exclusion table is called ZPP_MATERIAL_SKIP in one section and ZPP_FORECAST_EXCLUDE in another, and the product category table is given two different field lists (Category in one, Quarter in the other). Please confirm one definition for each.</w:t>
            </w:r>
          </w:p>
        </w:tc>
        <w:tc>
          <w:tcPr>
            <w:tcW w:type="dxa" w:w="1900"/>
          </w:tcPr>
          <w:p>
            <w:pPr>
              <w:spacing w:after="40" w:before="40"/>
            </w:pPr>
            <w:r>
              <w:rPr>
                <w:rFonts w:ascii="Calibri" w:cs="Calibri" w:eastAsia="Calibri" w:hAnsi="Calibri"/>
                <w:b w:val="false"/>
                <w:bCs w:val="false"/>
                <w:sz w:val="19"/>
                <w:szCs w:val="19"/>
              </w:rPr>
              <w:t xml:space="preserve">Data model cannot be finalised.</w:t>
            </w:r>
          </w:p>
        </w:tc>
        <w:tc>
          <w:tcPr>
            <w:tcW w:type="dxa" w:w="1800"/>
          </w:tcPr>
          <w:p>
            <w:pPr>
              <w:spacing w:after="40" w:before="40"/>
            </w:pPr>
            <w:r>
              <w:rPr>
                <w:rFonts w:ascii="Calibri" w:cs="Calibri" w:eastAsia="Calibri" w:hAnsi="Calibri"/>
                <w:b w:val="false"/>
                <w:bCs w:val="false"/>
                <w:sz w:val="19"/>
                <w:szCs w:val="19"/>
              </w:rPr>
              <w:t xml:space="preserve">BRD author</w:t>
            </w:r>
          </w:p>
        </w:tc>
      </w:tr>
      <w:tr>
        <w:tc>
          <w:tcPr>
            <w:tcW w:type="dxa" w:w="700"/>
          </w:tcPr>
          <w:p>
            <w:pPr>
              <w:spacing w:after="40" w:before="40"/>
            </w:pPr>
            <w:r>
              <w:rPr>
                <w:rFonts w:ascii="Calibri" w:cs="Calibri" w:eastAsia="Calibri" w:hAnsi="Calibri"/>
                <w:b w:val="false"/>
                <w:bCs w:val="false"/>
                <w:sz w:val="19"/>
                <w:szCs w:val="19"/>
              </w:rPr>
              <w:t xml:space="preserve">Q4</w:t>
            </w:r>
          </w:p>
        </w:tc>
        <w:tc>
          <w:tcPr>
            <w:tcW w:type="dxa" w:w="4626"/>
          </w:tcPr>
          <w:p>
            <w:pPr>
              <w:spacing w:after="40" w:before="40"/>
            </w:pPr>
            <w:r>
              <w:rPr>
                <w:rFonts w:ascii="Calibri" w:cs="Calibri" w:eastAsia="Calibri" w:hAnsi="Calibri"/>
                <w:b w:val="false"/>
                <w:bCs w:val="false"/>
                <w:sz w:val="19"/>
                <w:szCs w:val="19"/>
              </w:rPr>
              <w:t xml:space="preserve">Please confirm that sales history is to be read from billing documents (VBRK / VBRP), and provide the list of billing types that constitute "normal sales" and "direct sales to the customer".</w:t>
            </w:r>
          </w:p>
        </w:tc>
        <w:tc>
          <w:tcPr>
            <w:tcW w:type="dxa" w:w="1900"/>
          </w:tcPr>
          <w:p>
            <w:pPr>
              <w:spacing w:after="40" w:before="40"/>
            </w:pPr>
            <w:r>
              <w:rPr>
                <w:rFonts w:ascii="Calibri" w:cs="Calibri" w:eastAsia="Calibri" w:hAnsi="Calibri"/>
                <w:b w:val="false"/>
                <w:bCs w:val="false"/>
                <w:sz w:val="19"/>
                <w:szCs w:val="19"/>
              </w:rPr>
              <w:t xml:space="preserve">Every calculated figure depends on this.</w:t>
            </w:r>
          </w:p>
        </w:tc>
        <w:tc>
          <w:tcPr>
            <w:tcW w:type="dxa" w:w="1800"/>
          </w:tcPr>
          <w:p>
            <w:pPr>
              <w:spacing w:after="40" w:before="40"/>
            </w:pPr>
            <w:r>
              <w:rPr>
                <w:rFonts w:ascii="Calibri" w:cs="Calibri" w:eastAsia="Calibri" w:hAnsi="Calibri"/>
                <w:b w:val="false"/>
                <w:bCs w:val="false"/>
                <w:sz w:val="19"/>
                <w:szCs w:val="19"/>
              </w:rPr>
              <w:t xml:space="preserve">SD functional</w:t>
            </w:r>
          </w:p>
        </w:tc>
      </w:tr>
    </w:tbl>
    <w:p>
      <w:pPr>
        <w:pStyle w:val="Heading2"/>
        <w:spacing w:after="100" w:before="220"/>
      </w:pPr>
      <w:r>
        <w:rPr>
          <w:rFonts w:ascii="Calibri" w:cs="Calibri" w:eastAsia="Calibri" w:hAnsi="Calibri"/>
          <w:b/>
          <w:bCs/>
          <w:color w:val="2E5496"/>
          <w:sz w:val="22"/>
          <w:szCs w:val="22"/>
        </w:rPr>
        <w:t xml:space="preserve">2.2  Required before the relevant phase — not blocking the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26"/>
        <w:gridCol w:w="1900"/>
        <w:gridCol w:w="18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4626"/>
            <w:shd w:fill="D9D9D9" w:color="auto" w:val="clear"/>
          </w:tcPr>
          <w:p>
            <w:pPr>
              <w:spacing w:after="40" w:before="40"/>
            </w:pPr>
            <w:r>
              <w:rPr>
                <w:rFonts w:ascii="Calibri" w:cs="Calibri" w:eastAsia="Calibri" w:hAnsi="Calibri"/>
                <w:b/>
                <w:bCs/>
                <w:sz w:val="19"/>
                <w:szCs w:val="19"/>
              </w:rPr>
              <w:t xml:space="preserve">Query</w:t>
            </w:r>
          </w:p>
        </w:tc>
        <w:tc>
          <w:tcPr>
            <w:tcW w:type="dxa" w:w="1900"/>
            <w:shd w:fill="D9D9D9" w:color="auto" w:val="clear"/>
          </w:tcPr>
          <w:p>
            <w:pPr>
              <w:spacing w:after="40" w:before="40"/>
            </w:pPr>
            <w:r>
              <w:rPr>
                <w:rFonts w:ascii="Calibri" w:cs="Calibri" w:eastAsia="Calibri" w:hAnsi="Calibri"/>
                <w:b/>
                <w:bCs/>
                <w:sz w:val="19"/>
                <w:szCs w:val="19"/>
              </w:rPr>
              <w:t xml:space="preserve">Required by</w:t>
            </w:r>
          </w:p>
        </w:tc>
        <w:tc>
          <w:tcPr>
            <w:tcW w:type="dxa" w:w="1800"/>
            <w:shd w:fill="D9D9D9" w:color="auto" w:val="clear"/>
          </w:tcPr>
          <w:p>
            <w:pPr>
              <w:spacing w:after="40" w:before="40"/>
            </w:pPr>
            <w:r>
              <w:rPr>
                <w:rFonts w:ascii="Calibri" w:cs="Calibri" w:eastAsia="Calibri" w:hAnsi="Calibri"/>
                <w:b/>
                <w:bCs/>
                <w:sz w:val="19"/>
                <w:szCs w:val="19"/>
              </w:rPr>
              <w:t xml:space="preserve">To be answered by</w:t>
            </w:r>
          </w:p>
        </w:tc>
      </w:tr>
      <w:tr>
        <w:tc>
          <w:tcPr>
            <w:tcW w:type="dxa" w:w="700"/>
          </w:tcPr>
          <w:p>
            <w:pPr>
              <w:spacing w:after="40" w:before="40"/>
            </w:pPr>
            <w:r>
              <w:rPr>
                <w:rFonts w:ascii="Calibri" w:cs="Calibri" w:eastAsia="Calibri" w:hAnsi="Calibri"/>
                <w:b w:val="false"/>
                <w:bCs w:val="false"/>
                <w:sz w:val="19"/>
                <w:szCs w:val="19"/>
              </w:rPr>
              <w:t xml:space="preserve">Q5</w:t>
            </w:r>
          </w:p>
        </w:tc>
        <w:tc>
          <w:tcPr>
            <w:tcW w:type="dxa" w:w="4626"/>
          </w:tcPr>
          <w:p>
            <w:pPr>
              <w:spacing w:after="40" w:before="40"/>
            </w:pPr>
            <w:r>
              <w:rPr>
                <w:rFonts w:ascii="Calibri" w:cs="Calibri" w:eastAsia="Calibri" w:hAnsi="Calibri"/>
                <w:b w:val="false"/>
                <w:bCs w:val="false"/>
                <w:sz w:val="19"/>
                <w:szCs w:val="19"/>
              </w:rPr>
              <w:t xml:space="preserve">From which date should the system read live billing data rather than the uploaded three-year sales history table? A go-live cut-off date is needed.</w:t>
            </w:r>
          </w:p>
        </w:tc>
        <w:tc>
          <w:tcPr>
            <w:tcW w:type="dxa" w:w="1900"/>
          </w:tcPr>
          <w:p>
            <w:pPr>
              <w:spacing w:after="40" w:before="40"/>
            </w:pPr>
            <w:r>
              <w:rPr>
                <w:rFonts w:ascii="Calibri" w:cs="Calibri" w:eastAsia="Calibri" w:hAnsi="Calibri"/>
                <w:b w:val="false"/>
                <w:bCs w:val="false"/>
                <w:sz w:val="19"/>
                <w:szCs w:val="19"/>
              </w:rPr>
              <w:t xml:space="preserve">Before history load</w:t>
            </w:r>
          </w:p>
        </w:tc>
        <w:tc>
          <w:tcPr>
            <w:tcW w:type="dxa" w:w="1800"/>
          </w:tcPr>
          <w:p>
            <w:pPr>
              <w:spacing w:after="40" w:before="40"/>
            </w:pPr>
            <w:r>
              <w:rPr>
                <w:rFonts w:ascii="Calibri" w:cs="Calibri" w:eastAsia="Calibri" w:hAnsi="Calibri"/>
                <w:b w:val="false"/>
                <w:bCs w:val="false"/>
                <w:sz w:val="19"/>
                <w:szCs w:val="19"/>
              </w:rPr>
              <w:t xml:space="preserve">Project / PP functional</w:t>
            </w:r>
          </w:p>
        </w:tc>
      </w:tr>
      <w:tr>
        <w:tc>
          <w:tcPr>
            <w:tcW w:type="dxa" w:w="700"/>
          </w:tcPr>
          <w:p>
            <w:pPr>
              <w:spacing w:after="40" w:before="40"/>
            </w:pPr>
            <w:r>
              <w:rPr>
                <w:rFonts w:ascii="Calibri" w:cs="Calibri" w:eastAsia="Calibri" w:hAnsi="Calibri"/>
                <w:b w:val="false"/>
                <w:bCs w:val="false"/>
                <w:sz w:val="19"/>
                <w:szCs w:val="19"/>
              </w:rPr>
              <w:t xml:space="preserve">Q6</w:t>
            </w:r>
          </w:p>
        </w:tc>
        <w:tc>
          <w:tcPr>
            <w:tcW w:type="dxa" w:w="4626"/>
          </w:tcPr>
          <w:p>
            <w:pPr>
              <w:spacing w:after="40" w:before="40"/>
            </w:pPr>
            <w:r>
              <w:rPr>
                <w:rFonts w:ascii="Calibri" w:cs="Calibri" w:eastAsia="Calibri" w:hAnsi="Calibri"/>
                <w:b w:val="false"/>
                <w:bCs w:val="false"/>
                <w:sz w:val="19"/>
                <w:szCs w:val="19"/>
              </w:rPr>
              <w:t xml:space="preserve">For a Q1 forecast, the "current year last three months" falls in the previous financial year (January to March). Please confirm this is intended.</w:t>
            </w:r>
          </w:p>
        </w:tc>
        <w:tc>
          <w:tcPr>
            <w:tcW w:type="dxa" w:w="1900"/>
          </w:tcPr>
          <w:p>
            <w:pPr>
              <w:spacing w:after="40" w:before="40"/>
            </w:pPr>
            <w:r>
              <w:rPr>
                <w:rFonts w:ascii="Calibri" w:cs="Calibri" w:eastAsia="Calibri" w:hAnsi="Calibri"/>
                <w:b w:val="false"/>
                <w:bCs w:val="false"/>
                <w:sz w:val="19"/>
                <w:szCs w:val="19"/>
              </w:rPr>
              <w:t xml:space="preserve">Before quarterly build</w:t>
            </w:r>
          </w:p>
        </w:tc>
        <w:tc>
          <w:tcPr>
            <w:tcW w:type="dxa" w:w="1800"/>
          </w:tcPr>
          <w:p>
            <w:pPr>
              <w:spacing w:after="40" w:before="40"/>
            </w:pPr>
            <w:r>
              <w:rPr>
                <w:rFonts w:ascii="Calibri" w:cs="Calibri" w:eastAsia="Calibri" w:hAnsi="Calibri"/>
                <w:b w:val="false"/>
                <w:bCs w:val="false"/>
                <w:sz w:val="19"/>
                <w:szCs w:val="19"/>
              </w:rPr>
              <w:t xml:space="preserve">PP functional</w:t>
            </w:r>
          </w:p>
        </w:tc>
      </w:tr>
      <w:tr>
        <w:tc>
          <w:tcPr>
            <w:tcW w:type="dxa" w:w="700"/>
          </w:tcPr>
          <w:p>
            <w:pPr>
              <w:spacing w:after="40" w:before="40"/>
            </w:pPr>
            <w:r>
              <w:rPr>
                <w:rFonts w:ascii="Calibri" w:cs="Calibri" w:eastAsia="Calibri" w:hAnsi="Calibri"/>
                <w:b w:val="false"/>
                <w:bCs w:val="false"/>
                <w:sz w:val="19"/>
                <w:szCs w:val="19"/>
              </w:rPr>
              <w:t xml:space="preserve">Q7</w:t>
            </w:r>
          </w:p>
        </w:tc>
        <w:tc>
          <w:tcPr>
            <w:tcW w:type="dxa" w:w="4626"/>
          </w:tcPr>
          <w:p>
            <w:pPr>
              <w:spacing w:after="40" w:before="40"/>
            </w:pPr>
            <w:r>
              <w:rPr>
                <w:rFonts w:ascii="Calibri" w:cs="Calibri" w:eastAsia="Calibri" w:hAnsi="Calibri"/>
                <w:b w:val="false"/>
                <w:bCs w:val="false"/>
                <w:sz w:val="19"/>
                <w:szCs w:val="19"/>
              </w:rPr>
              <w:t xml:space="preserve">The rule that a material cannot be saved twice in a financial year means a saved forecast cannot be revised. Please confirm the intended revision process — delete and re-generate, or version the forecast.</w:t>
            </w:r>
          </w:p>
        </w:tc>
        <w:tc>
          <w:tcPr>
            <w:tcW w:type="dxa" w:w="1900"/>
          </w:tcPr>
          <w:p>
            <w:pPr>
              <w:spacing w:after="40" w:before="40"/>
            </w:pPr>
            <w:r>
              <w:rPr>
                <w:rFonts w:ascii="Calibri" w:cs="Calibri" w:eastAsia="Calibri" w:hAnsi="Calibri"/>
                <w:b w:val="false"/>
                <w:bCs w:val="false"/>
                <w:sz w:val="19"/>
                <w:szCs w:val="19"/>
              </w:rPr>
              <w:t xml:space="preserve">Before save logic build</w:t>
            </w:r>
          </w:p>
        </w:tc>
        <w:tc>
          <w:tcPr>
            <w:tcW w:type="dxa" w:w="1800"/>
          </w:tcPr>
          <w:p>
            <w:pPr>
              <w:spacing w:after="40" w:before="40"/>
            </w:pPr>
            <w:r>
              <w:rPr>
                <w:rFonts w:ascii="Calibri" w:cs="Calibri" w:eastAsia="Calibri" w:hAnsi="Calibri"/>
                <w:b w:val="false"/>
                <w:bCs w:val="false"/>
                <w:sz w:val="19"/>
                <w:szCs w:val="19"/>
              </w:rPr>
              <w:t xml:space="preserve">PP functional</w:t>
            </w:r>
          </w:p>
        </w:tc>
      </w:tr>
      <w:tr>
        <w:tc>
          <w:tcPr>
            <w:tcW w:type="dxa" w:w="700"/>
          </w:tcPr>
          <w:p>
            <w:pPr>
              <w:spacing w:after="40" w:before="40"/>
            </w:pPr>
            <w:r>
              <w:rPr>
                <w:rFonts w:ascii="Calibri" w:cs="Calibri" w:eastAsia="Calibri" w:hAnsi="Calibri"/>
                <w:b w:val="false"/>
                <w:bCs w:val="false"/>
                <w:sz w:val="19"/>
                <w:szCs w:val="19"/>
              </w:rPr>
              <w:t xml:space="preserve">Q8</w:t>
            </w:r>
          </w:p>
        </w:tc>
        <w:tc>
          <w:tcPr>
            <w:tcW w:type="dxa" w:w="4626"/>
          </w:tcPr>
          <w:p>
            <w:pPr>
              <w:spacing w:after="40" w:before="40"/>
            </w:pPr>
            <w:r>
              <w:rPr>
                <w:rFonts w:ascii="Calibri" w:cs="Calibri" w:eastAsia="Calibri" w:hAnsi="Calibri"/>
                <w:b w:val="false"/>
                <w:bCs w:val="false"/>
                <w:sz w:val="19"/>
                <w:szCs w:val="19"/>
              </w:rPr>
              <w:t xml:space="preserve">What does the MTS / MTO table drive? It appears as an ALV column with no stated effect on the calculation.</w:t>
            </w:r>
          </w:p>
        </w:tc>
        <w:tc>
          <w:tcPr>
            <w:tcW w:type="dxa" w:w="1900"/>
          </w:tcPr>
          <w:p>
            <w:pPr>
              <w:spacing w:after="40" w:before="40"/>
            </w:pPr>
            <w:r>
              <w:rPr>
                <w:rFonts w:ascii="Calibri" w:cs="Calibri" w:eastAsia="Calibri" w:hAnsi="Calibri"/>
                <w:b w:val="false"/>
                <w:bCs w:val="false"/>
                <w:sz w:val="19"/>
                <w:szCs w:val="19"/>
              </w:rPr>
              <w:t xml:space="preserve">Before ALV finalisation</w:t>
            </w:r>
          </w:p>
        </w:tc>
        <w:tc>
          <w:tcPr>
            <w:tcW w:type="dxa" w:w="1800"/>
          </w:tcPr>
          <w:p>
            <w:pPr>
              <w:spacing w:after="40" w:before="40"/>
            </w:pPr>
            <w:r>
              <w:rPr>
                <w:rFonts w:ascii="Calibri" w:cs="Calibri" w:eastAsia="Calibri" w:hAnsi="Calibri"/>
                <w:b w:val="false"/>
                <w:bCs w:val="false"/>
                <w:sz w:val="19"/>
                <w:szCs w:val="19"/>
              </w:rPr>
              <w:t xml:space="preserve">PP functional</w:t>
            </w:r>
          </w:p>
        </w:tc>
      </w:tr>
      <w:tr>
        <w:tc>
          <w:tcPr>
            <w:tcW w:type="dxa" w:w="700"/>
          </w:tcPr>
          <w:p>
            <w:pPr>
              <w:spacing w:after="40" w:before="40"/>
            </w:pPr>
            <w:r>
              <w:rPr>
                <w:rFonts w:ascii="Calibri" w:cs="Calibri" w:eastAsia="Calibri" w:hAnsi="Calibri"/>
                <w:b w:val="false"/>
                <w:bCs w:val="false"/>
                <w:sz w:val="19"/>
                <w:szCs w:val="19"/>
              </w:rPr>
              <w:t xml:space="preserve">Q9</w:t>
            </w:r>
          </w:p>
        </w:tc>
        <w:tc>
          <w:tcPr>
            <w:tcW w:type="dxa" w:w="4626"/>
          </w:tcPr>
          <w:p>
            <w:pPr>
              <w:spacing w:after="40" w:before="40"/>
            </w:pPr>
            <w:r>
              <w:rPr>
                <w:rFonts w:ascii="Calibri" w:cs="Calibri" w:eastAsia="Calibri" w:hAnsi="Calibri"/>
                <w:b w:val="false"/>
                <w:bCs w:val="false"/>
                <w:sz w:val="19"/>
                <w:szCs w:val="19"/>
              </w:rPr>
              <w:t xml:space="preserve">Tonnage — please confirm net weight and gross weight are taken from the material master and converted to tonnes, and state what should happen if both checkboxes are selected.</w:t>
            </w:r>
          </w:p>
        </w:tc>
        <w:tc>
          <w:tcPr>
            <w:tcW w:type="dxa" w:w="1900"/>
          </w:tcPr>
          <w:p>
            <w:pPr>
              <w:spacing w:after="40" w:before="40"/>
            </w:pPr>
            <w:r>
              <w:rPr>
                <w:rFonts w:ascii="Calibri" w:cs="Calibri" w:eastAsia="Calibri" w:hAnsi="Calibri"/>
                <w:b w:val="false"/>
                <w:bCs w:val="false"/>
                <w:sz w:val="19"/>
                <w:szCs w:val="19"/>
              </w:rPr>
              <w:t xml:space="preserve">Before ALV build</w:t>
            </w:r>
          </w:p>
        </w:tc>
        <w:tc>
          <w:tcPr>
            <w:tcW w:type="dxa" w:w="1800"/>
          </w:tcPr>
          <w:p>
            <w:pPr>
              <w:spacing w:after="40" w:before="40"/>
            </w:pPr>
            <w:r>
              <w:rPr>
                <w:rFonts w:ascii="Calibri" w:cs="Calibri" w:eastAsia="Calibri" w:hAnsi="Calibri"/>
                <w:b w:val="false"/>
                <w:bCs w:val="false"/>
                <w:sz w:val="19"/>
                <w:szCs w:val="19"/>
              </w:rPr>
              <w:t xml:space="preserve">PP functional</w:t>
            </w:r>
          </w:p>
        </w:tc>
      </w:tr>
      <w:tr>
        <w:tc>
          <w:tcPr>
            <w:tcW w:type="dxa" w:w="700"/>
          </w:tcPr>
          <w:p>
            <w:pPr>
              <w:spacing w:after="40" w:before="40"/>
            </w:pPr>
            <w:r>
              <w:rPr>
                <w:rFonts w:ascii="Calibri" w:cs="Calibri" w:eastAsia="Calibri" w:hAnsi="Calibri"/>
                <w:b w:val="false"/>
                <w:bCs w:val="false"/>
                <w:sz w:val="19"/>
                <w:szCs w:val="19"/>
              </w:rPr>
              <w:t xml:space="preserve">Q10</w:t>
            </w:r>
          </w:p>
        </w:tc>
        <w:tc>
          <w:tcPr>
            <w:tcW w:type="dxa" w:w="4626"/>
          </w:tcPr>
          <w:p>
            <w:pPr>
              <w:spacing w:after="40" w:before="40"/>
            </w:pPr>
            <w:r>
              <w:rPr>
                <w:rFonts w:ascii="Calibri" w:cs="Calibri" w:eastAsia="Calibri" w:hAnsi="Calibri"/>
                <w:b w:val="false"/>
                <w:bCs w:val="false"/>
                <w:sz w:val="19"/>
                <w:szCs w:val="19"/>
              </w:rPr>
              <w:t xml:space="preserve">The upload layouts differ between BRD sections for the same upload (Forecast Number in one, Financial Year in another). Please confirm one layout per upload type.</w:t>
            </w:r>
          </w:p>
        </w:tc>
        <w:tc>
          <w:tcPr>
            <w:tcW w:type="dxa" w:w="1900"/>
          </w:tcPr>
          <w:p>
            <w:pPr>
              <w:spacing w:after="40" w:before="40"/>
            </w:pPr>
            <w:r>
              <w:rPr>
                <w:rFonts w:ascii="Calibri" w:cs="Calibri" w:eastAsia="Calibri" w:hAnsi="Calibri"/>
                <w:b w:val="false"/>
                <w:bCs w:val="false"/>
                <w:sz w:val="19"/>
                <w:szCs w:val="19"/>
              </w:rPr>
              <w:t xml:space="preserve">Before upload build</w:t>
            </w:r>
          </w:p>
        </w:tc>
        <w:tc>
          <w:tcPr>
            <w:tcW w:type="dxa" w:w="1800"/>
          </w:tcPr>
          <w:p>
            <w:pPr>
              <w:spacing w:after="40" w:before="40"/>
            </w:pPr>
            <w:r>
              <w:rPr>
                <w:rFonts w:ascii="Calibri" w:cs="Calibri" w:eastAsia="Calibri" w:hAnsi="Calibri"/>
                <w:b w:val="false"/>
                <w:bCs w:val="false"/>
                <w:sz w:val="19"/>
                <w:szCs w:val="19"/>
              </w:rPr>
              <w:t xml:space="preserve">BRD author</w:t>
            </w:r>
          </w:p>
        </w:tc>
      </w:tr>
      <w:tr>
        <w:tc>
          <w:tcPr>
            <w:tcW w:type="dxa" w:w="700"/>
          </w:tcPr>
          <w:p>
            <w:pPr>
              <w:spacing w:after="40" w:before="40"/>
            </w:pPr>
            <w:r>
              <w:rPr>
                <w:rFonts w:ascii="Calibri" w:cs="Calibri" w:eastAsia="Calibri" w:hAnsi="Calibri"/>
                <w:b w:val="false"/>
                <w:bCs w:val="false"/>
                <w:sz w:val="19"/>
                <w:szCs w:val="19"/>
              </w:rPr>
              <w:t xml:space="preserve">Q11</w:t>
            </w:r>
          </w:p>
        </w:tc>
        <w:tc>
          <w:tcPr>
            <w:tcW w:type="dxa" w:w="4626"/>
          </w:tcPr>
          <w:p>
            <w:pPr>
              <w:spacing w:after="40" w:before="40"/>
            </w:pPr>
            <w:r>
              <w:rPr>
                <w:rFonts w:ascii="Calibri" w:cs="Calibri" w:eastAsia="Calibri" w:hAnsi="Calibri"/>
                <w:b w:val="false"/>
                <w:bCs w:val="false"/>
                <w:sz w:val="19"/>
                <w:szCs w:val="19"/>
              </w:rPr>
              <w:t xml:space="preserve">Are the Pipes division items on sheet Sheet4 — depot sales, plant-to-depot relation, storage location exclusion, deficit from open sales orders and STOs, optional growth factor — in scope for Adhesive, or Pipes only?</w:t>
            </w:r>
          </w:p>
        </w:tc>
        <w:tc>
          <w:tcPr>
            <w:tcW w:type="dxa" w:w="1900"/>
          </w:tcPr>
          <w:p>
            <w:pPr>
              <w:spacing w:after="40" w:before="40"/>
            </w:pPr>
            <w:r>
              <w:rPr>
                <w:rFonts w:ascii="Calibri" w:cs="Calibri" w:eastAsia="Calibri" w:hAnsi="Calibri"/>
                <w:b w:val="false"/>
                <w:bCs w:val="false"/>
                <w:sz w:val="19"/>
                <w:szCs w:val="19"/>
              </w:rPr>
              <w:t xml:space="preserve">Before scope freeze</w:t>
            </w:r>
          </w:p>
        </w:tc>
        <w:tc>
          <w:tcPr>
            <w:tcW w:type="dxa" w:w="1800"/>
          </w:tcPr>
          <w:p>
            <w:pPr>
              <w:spacing w:after="40" w:before="40"/>
            </w:pPr>
            <w:r>
              <w:rPr>
                <w:rFonts w:ascii="Calibri" w:cs="Calibri" w:eastAsia="Calibri" w:hAnsi="Calibri"/>
                <w:b w:val="false"/>
                <w:bCs w:val="false"/>
                <w:sz w:val="19"/>
                <w:szCs w:val="19"/>
              </w:rPr>
              <w:t xml:space="preserve">Business / PP functional</w:t>
            </w:r>
          </w:p>
        </w:tc>
      </w:tr>
      <w:tr>
        <w:tc>
          <w:tcPr>
            <w:tcW w:type="dxa" w:w="700"/>
          </w:tcPr>
          <w:p>
            <w:pPr>
              <w:spacing w:after="40" w:before="40"/>
            </w:pPr>
            <w:r>
              <w:rPr>
                <w:rFonts w:ascii="Calibri" w:cs="Calibri" w:eastAsia="Calibri" w:hAnsi="Calibri"/>
                <w:b w:val="false"/>
                <w:bCs w:val="false"/>
                <w:sz w:val="19"/>
                <w:szCs w:val="19"/>
              </w:rPr>
              <w:t xml:space="preserve">Q12</w:t>
            </w:r>
          </w:p>
        </w:tc>
        <w:tc>
          <w:tcPr>
            <w:tcW w:type="dxa" w:w="4626"/>
          </w:tcPr>
          <w:p>
            <w:pPr>
              <w:spacing w:after="40" w:before="40"/>
            </w:pPr>
            <w:r>
              <w:rPr>
                <w:rFonts w:ascii="Calibri" w:cs="Calibri" w:eastAsia="Calibri" w:hAnsi="Calibri"/>
                <w:b w:val="false"/>
                <w:bCs w:val="false"/>
                <w:sz w:val="19"/>
                <w:szCs w:val="19"/>
              </w:rPr>
              <w:t xml:space="preserve">Business Forecast in the quarterly and monthly calculations — please confirm this is the quantity brought in by the sales forecast upload and not a separately maintained figure.</w:t>
            </w:r>
          </w:p>
        </w:tc>
        <w:tc>
          <w:tcPr>
            <w:tcW w:type="dxa" w:w="1900"/>
          </w:tcPr>
          <w:p>
            <w:pPr>
              <w:spacing w:after="40" w:before="40"/>
            </w:pPr>
            <w:r>
              <w:rPr>
                <w:rFonts w:ascii="Calibri" w:cs="Calibri" w:eastAsia="Calibri" w:hAnsi="Calibri"/>
                <w:b w:val="false"/>
                <w:bCs w:val="false"/>
                <w:sz w:val="19"/>
                <w:szCs w:val="19"/>
              </w:rPr>
              <w:t xml:space="preserve">Before quarterly build</w:t>
            </w:r>
          </w:p>
        </w:tc>
        <w:tc>
          <w:tcPr>
            <w:tcW w:type="dxa" w:w="1800"/>
          </w:tcPr>
          <w:p>
            <w:pPr>
              <w:spacing w:after="40" w:before="40"/>
            </w:pPr>
            <w:r>
              <w:rPr>
                <w:rFonts w:ascii="Calibri" w:cs="Calibri" w:eastAsia="Calibri" w:hAnsi="Calibri"/>
                <w:b w:val="false"/>
                <w:bCs w:val="false"/>
                <w:sz w:val="19"/>
                <w:szCs w:val="19"/>
              </w:rPr>
              <w:t xml:space="preserve">PP functional</w:t>
            </w:r>
          </w:p>
        </w:tc>
      </w:tr>
      <w:tr>
        <w:tc>
          <w:tcPr>
            <w:tcW w:type="dxa" w:w="700"/>
          </w:tcPr>
          <w:p>
            <w:pPr>
              <w:spacing w:after="40" w:before="40"/>
            </w:pPr>
            <w:r>
              <w:rPr>
                <w:rFonts w:ascii="Calibri" w:cs="Calibri" w:eastAsia="Calibri" w:hAnsi="Calibri"/>
                <w:b w:val="false"/>
                <w:bCs w:val="false"/>
                <w:sz w:val="19"/>
                <w:szCs w:val="19"/>
              </w:rPr>
              <w:t xml:space="preserve">Q13</w:t>
            </w:r>
          </w:p>
        </w:tc>
        <w:tc>
          <w:tcPr>
            <w:tcW w:type="dxa" w:w="4626"/>
          </w:tcPr>
          <w:p>
            <w:pPr>
              <w:spacing w:after="40" w:before="40"/>
            </w:pPr>
            <w:r>
              <w:rPr>
                <w:rFonts w:ascii="Calibri" w:cs="Calibri" w:eastAsia="Calibri" w:hAnsi="Calibri"/>
                <w:b w:val="false"/>
                <w:bCs w:val="false"/>
                <w:sz w:val="19"/>
                <w:szCs w:val="19"/>
              </w:rPr>
              <w:t xml:space="preserve">The BRD carries no message list, no authorisation matrix, no testing section, and no version or approval record. Please complete and sign off to baseline it.</w:t>
            </w:r>
          </w:p>
        </w:tc>
        <w:tc>
          <w:tcPr>
            <w:tcW w:type="dxa" w:w="1900"/>
          </w:tcPr>
          <w:p>
            <w:pPr>
              <w:spacing w:after="40" w:before="40"/>
            </w:pPr>
            <w:r>
              <w:rPr>
                <w:rFonts w:ascii="Calibri" w:cs="Calibri" w:eastAsia="Calibri" w:hAnsi="Calibri"/>
                <w:b w:val="false"/>
                <w:bCs w:val="false"/>
                <w:sz w:val="19"/>
                <w:szCs w:val="19"/>
              </w:rPr>
              <w:t xml:space="preserve">Before BRD baseline</w:t>
            </w:r>
          </w:p>
        </w:tc>
        <w:tc>
          <w:tcPr>
            <w:tcW w:type="dxa" w:w="1800"/>
          </w:tcPr>
          <w:p>
            <w:pPr>
              <w:spacing w:after="40" w:before="40"/>
            </w:pPr>
            <w:r>
              <w:rPr>
                <w:rFonts w:ascii="Calibri" w:cs="Calibri" w:eastAsia="Calibri" w:hAnsi="Calibri"/>
                <w:b w:val="false"/>
                <w:bCs w:val="false"/>
                <w:sz w:val="19"/>
                <w:szCs w:val="19"/>
              </w:rPr>
              <w:t xml:space="preserve">BRD author / Business</w:t>
            </w:r>
          </w:p>
        </w:tc>
      </w:tr>
    </w:tbl>
    <w:p>
      <w:pPr>
        <w:pStyle w:val="Heading1"/>
        <w:spacing w:after="140" w:before="300"/>
      </w:pPr>
      <w:r>
        <w:rPr>
          <w:rFonts w:ascii="Calibri" w:cs="Calibri" w:eastAsia="Calibri" w:hAnsi="Calibri"/>
          <w:b/>
          <w:bCs/>
          <w:color w:val="1F3864"/>
          <w:sz w:val="26"/>
          <w:szCs w:val="26"/>
        </w:rPr>
        <w:t xml:space="preserve">3.  Position Summary</w:t>
      </w:r>
    </w:p>
    <w:p>
      <w:pPr>
        <w:spacing w:after="60" w:before="60"/>
      </w:pPr>
      <w:r>
        <w:rPr>
          <w:rFonts w:ascii="Calibri" w:cs="Calibri" w:eastAsia="Calibri" w:hAnsi="Calibri"/>
          <w:b w:val="false"/>
          <w:bCs w:val="false"/>
          <w:i w:val="false"/>
          <w:iCs w:val="false"/>
          <w:sz w:val="19"/>
          <w:szCs w:val="19"/>
        </w:rPr>
        <w:t xml:space="preserve">The calculation logic in the BRD is complete and internally consistent. Every formula for the annual, quarterly and monthly forecasts has been reconciled against the worked example in the spreadsheet and reproduces the stated results exactly, so the arithmetic carries no interpretation risk.</w:t>
      </w:r>
    </w:p>
    <w:p>
      <w:pPr>
        <w:spacing w:after="60" w:before="60"/>
      </w:pPr>
      <w:r>
        <w:rPr>
          <w:rFonts w:ascii="Calibri" w:cs="Calibri" w:eastAsia="Calibri" w:hAnsi="Calibri"/>
          <w:b w:val="false"/>
          <w:bCs w:val="false"/>
          <w:i w:val="false"/>
          <w:iCs w:val="false"/>
          <w:sz w:val="19"/>
          <w:szCs w:val="19"/>
        </w:rPr>
        <w:t xml:space="preserve">The risk in this object is not the mathematics but the data model. Queries Q2 and Q3 must be resolved before any table can be created, and Q4 determines whether every calculated figure is correct at source. Q1 remains the only item that prevents work from starting at all.</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2026-08-17T06:32:58.778Z</dcterms:created>
  <dcterms:modified xsi:type="dcterms:W3CDTF">2026-08-17T06:32:58.785Z</dcterms:modified>
</cp:coreProperties>
</file>

<file path=docProps/custom.xml><?xml version="1.0" encoding="utf-8"?>
<Properties xmlns="http://schemas.openxmlformats.org/officeDocument/2006/custom-properties" xmlns:vt="http://schemas.openxmlformats.org/officeDocument/2006/docPropsVTypes"/>
</file>