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36EB4" w14:textId="77777777" w:rsidR="00397741" w:rsidRPr="00397741" w:rsidRDefault="00EF58EE" w:rsidP="00397741">
      <w:pPr>
        <w:pStyle w:val="Title"/>
        <w:jc w:val="center"/>
        <w:rPr>
          <w:rFonts w:ascii="Times New Roman" w:hAnsi="Times New Roman" w:cs="Times New Roman"/>
          <w:sz w:val="32"/>
          <w:szCs w:val="32"/>
        </w:rPr>
      </w:pPr>
      <w:r w:rsidRPr="00397741">
        <w:rPr>
          <w:rFonts w:ascii="Times New Roman" w:hAnsi="Times New Roman" w:cs="Times New Roman"/>
          <w:sz w:val="32"/>
          <w:szCs w:val="32"/>
        </w:rPr>
        <w:t xml:space="preserve">Preregistration proposal for </w:t>
      </w:r>
    </w:p>
    <w:p w14:paraId="3702B87D" w14:textId="0FBF4129" w:rsidR="00EF58EE" w:rsidRPr="00EF58EE" w:rsidRDefault="00EF58EE" w:rsidP="00397741">
      <w:pPr>
        <w:pStyle w:val="Title"/>
        <w:jc w:val="center"/>
        <w:rPr>
          <w:rFonts w:ascii="Times New Roman" w:hAnsi="Times New Roman" w:cs="Times New Roman"/>
          <w:b/>
          <w:bCs/>
        </w:rPr>
      </w:pPr>
      <w:r w:rsidRPr="00EF58EE">
        <w:rPr>
          <w:rFonts w:ascii="Times New Roman" w:hAnsi="Times New Roman" w:cs="Times New Roman"/>
          <w:b/>
          <w:bCs/>
        </w:rPr>
        <w:t>“</w:t>
      </w:r>
      <w:r w:rsidR="00397741" w:rsidRPr="00397741">
        <w:rPr>
          <w:rFonts w:ascii="Times New Roman" w:hAnsi="Times New Roman" w:cs="Times New Roman"/>
          <w:b/>
          <w:bCs/>
        </w:rPr>
        <w:t>Business Development Companies (BDCs), Direct Lending, and Performance Dynamics in U.S. Middle-Market Credit</w:t>
      </w:r>
      <w:r w:rsidRPr="00EF58EE">
        <w:rPr>
          <w:rFonts w:ascii="Times New Roman" w:hAnsi="Times New Roman" w:cs="Times New Roman"/>
          <w:b/>
          <w:bCs/>
        </w:rPr>
        <w:t>”</w:t>
      </w:r>
    </w:p>
    <w:p w14:paraId="1FD34B7F" w14:textId="77777777" w:rsidR="00EF58EE" w:rsidRDefault="00EF58EE" w:rsidP="001F68CA">
      <w:pPr>
        <w:spacing w:line="360" w:lineRule="auto"/>
        <w:rPr>
          <w:rFonts w:ascii="Times New Roman" w:hAnsi="Times New Roman" w:cs="Times New Roman"/>
          <w:b/>
          <w:bCs/>
          <w:sz w:val="28"/>
          <w:szCs w:val="28"/>
        </w:rPr>
      </w:pPr>
    </w:p>
    <w:p w14:paraId="1B562ED9" w14:textId="77777777" w:rsidR="00EF58EE" w:rsidRDefault="00EF58EE" w:rsidP="001F68CA">
      <w:pPr>
        <w:spacing w:line="360" w:lineRule="auto"/>
        <w:rPr>
          <w:rFonts w:ascii="Times New Roman" w:hAnsi="Times New Roman" w:cs="Times New Roman"/>
          <w:b/>
          <w:bCs/>
          <w:sz w:val="28"/>
          <w:szCs w:val="28"/>
        </w:rPr>
      </w:pPr>
    </w:p>
    <w:p w14:paraId="1BE8C22E" w14:textId="77777777" w:rsidR="00EF58EE" w:rsidRDefault="00EF58EE" w:rsidP="001F68CA">
      <w:pPr>
        <w:spacing w:line="360" w:lineRule="auto"/>
        <w:rPr>
          <w:rFonts w:ascii="Times New Roman" w:hAnsi="Times New Roman" w:cs="Times New Roman"/>
          <w:b/>
          <w:bCs/>
          <w:sz w:val="28"/>
          <w:szCs w:val="28"/>
        </w:rPr>
      </w:pPr>
    </w:p>
    <w:p w14:paraId="5C03E758" w14:textId="77777777" w:rsidR="00EF58EE" w:rsidRDefault="00EF58EE" w:rsidP="001F68CA">
      <w:pPr>
        <w:spacing w:line="360" w:lineRule="auto"/>
        <w:rPr>
          <w:rFonts w:ascii="Times New Roman" w:hAnsi="Times New Roman" w:cs="Times New Roman"/>
          <w:b/>
          <w:bCs/>
          <w:sz w:val="28"/>
          <w:szCs w:val="28"/>
        </w:rPr>
      </w:pPr>
    </w:p>
    <w:p w14:paraId="4E2491BF" w14:textId="77777777" w:rsidR="00EF58EE" w:rsidRDefault="00EF58EE" w:rsidP="001F68CA">
      <w:pPr>
        <w:spacing w:line="360" w:lineRule="auto"/>
        <w:rPr>
          <w:rFonts w:ascii="Times New Roman" w:hAnsi="Times New Roman" w:cs="Times New Roman"/>
          <w:b/>
          <w:bCs/>
          <w:sz w:val="28"/>
          <w:szCs w:val="28"/>
        </w:rPr>
      </w:pPr>
    </w:p>
    <w:p w14:paraId="28E25C20" w14:textId="77777777" w:rsidR="00EF58EE" w:rsidRDefault="00EF58EE" w:rsidP="001F68CA">
      <w:pPr>
        <w:spacing w:line="360" w:lineRule="auto"/>
        <w:rPr>
          <w:rFonts w:ascii="Times New Roman" w:hAnsi="Times New Roman" w:cs="Times New Roman"/>
          <w:b/>
          <w:bCs/>
          <w:sz w:val="28"/>
          <w:szCs w:val="28"/>
        </w:rPr>
      </w:pPr>
    </w:p>
    <w:p w14:paraId="677B78A1" w14:textId="77777777" w:rsidR="00EF58EE" w:rsidRDefault="00EF58EE" w:rsidP="001F68CA">
      <w:pPr>
        <w:spacing w:line="360" w:lineRule="auto"/>
        <w:rPr>
          <w:rFonts w:ascii="Times New Roman" w:hAnsi="Times New Roman" w:cs="Times New Roman"/>
          <w:b/>
          <w:bCs/>
          <w:sz w:val="28"/>
          <w:szCs w:val="28"/>
        </w:rPr>
      </w:pPr>
    </w:p>
    <w:p w14:paraId="67079156" w14:textId="77777777" w:rsidR="00EF58EE" w:rsidRDefault="00EF58EE" w:rsidP="001F68CA">
      <w:pPr>
        <w:spacing w:line="360" w:lineRule="auto"/>
        <w:rPr>
          <w:rFonts w:ascii="Times New Roman" w:hAnsi="Times New Roman" w:cs="Times New Roman"/>
          <w:b/>
          <w:bCs/>
          <w:sz w:val="28"/>
          <w:szCs w:val="28"/>
        </w:rPr>
      </w:pPr>
    </w:p>
    <w:p w14:paraId="73804ABE" w14:textId="77777777" w:rsidR="00EF58EE" w:rsidRDefault="00EF58EE" w:rsidP="001F68CA">
      <w:pPr>
        <w:spacing w:line="360" w:lineRule="auto"/>
        <w:rPr>
          <w:rFonts w:ascii="Times New Roman" w:hAnsi="Times New Roman" w:cs="Times New Roman"/>
          <w:b/>
          <w:bCs/>
          <w:sz w:val="28"/>
          <w:szCs w:val="28"/>
        </w:rPr>
      </w:pPr>
    </w:p>
    <w:p w14:paraId="398A7F15" w14:textId="77777777" w:rsidR="00EF58EE" w:rsidRDefault="00EF58EE" w:rsidP="001F68CA">
      <w:pPr>
        <w:spacing w:line="360" w:lineRule="auto"/>
        <w:rPr>
          <w:rFonts w:ascii="Times New Roman" w:hAnsi="Times New Roman" w:cs="Times New Roman"/>
          <w:b/>
          <w:bCs/>
          <w:sz w:val="28"/>
          <w:szCs w:val="28"/>
        </w:rPr>
      </w:pPr>
    </w:p>
    <w:p w14:paraId="7CF316A7" w14:textId="77777777" w:rsidR="00EF58EE" w:rsidRDefault="00EF58EE" w:rsidP="001F68CA">
      <w:pPr>
        <w:spacing w:line="360" w:lineRule="auto"/>
        <w:rPr>
          <w:rFonts w:ascii="Times New Roman" w:hAnsi="Times New Roman" w:cs="Times New Roman"/>
          <w:b/>
          <w:bCs/>
          <w:sz w:val="28"/>
          <w:szCs w:val="28"/>
        </w:rPr>
      </w:pPr>
    </w:p>
    <w:p w14:paraId="17AC5FF8" w14:textId="77777777" w:rsidR="00EF58EE" w:rsidRDefault="00EF58EE" w:rsidP="001F68CA">
      <w:pPr>
        <w:spacing w:line="360" w:lineRule="auto"/>
        <w:rPr>
          <w:rFonts w:ascii="Times New Roman" w:hAnsi="Times New Roman" w:cs="Times New Roman"/>
          <w:b/>
          <w:bCs/>
          <w:sz w:val="28"/>
          <w:szCs w:val="28"/>
        </w:rPr>
      </w:pPr>
    </w:p>
    <w:p w14:paraId="1C11B804" w14:textId="77777777" w:rsidR="00EF58EE" w:rsidRDefault="00EF58EE" w:rsidP="001F68CA">
      <w:pPr>
        <w:spacing w:line="360" w:lineRule="auto"/>
        <w:rPr>
          <w:rFonts w:ascii="Times New Roman" w:hAnsi="Times New Roman" w:cs="Times New Roman"/>
          <w:b/>
          <w:bCs/>
          <w:sz w:val="28"/>
          <w:szCs w:val="28"/>
        </w:rPr>
      </w:pPr>
    </w:p>
    <w:p w14:paraId="6E7EA580" w14:textId="77777777" w:rsidR="00EF58EE" w:rsidRDefault="00EF58EE" w:rsidP="001F68CA">
      <w:pPr>
        <w:spacing w:line="360" w:lineRule="auto"/>
        <w:rPr>
          <w:rFonts w:ascii="Times New Roman" w:hAnsi="Times New Roman" w:cs="Times New Roman"/>
          <w:b/>
          <w:bCs/>
          <w:sz w:val="28"/>
          <w:szCs w:val="28"/>
        </w:rPr>
      </w:pPr>
    </w:p>
    <w:p w14:paraId="6B486540" w14:textId="77777777" w:rsidR="00397741" w:rsidRDefault="00397741" w:rsidP="001F68CA">
      <w:pPr>
        <w:spacing w:line="360" w:lineRule="auto"/>
        <w:rPr>
          <w:rFonts w:ascii="Times New Roman" w:hAnsi="Times New Roman" w:cs="Times New Roman"/>
          <w:b/>
          <w:bCs/>
          <w:sz w:val="28"/>
          <w:szCs w:val="28"/>
        </w:rPr>
      </w:pPr>
    </w:p>
    <w:p w14:paraId="5F6EB435" w14:textId="28F23241" w:rsidR="00EE0975" w:rsidRPr="00EE0975" w:rsidRDefault="00EE0975" w:rsidP="001F68CA">
      <w:pPr>
        <w:spacing w:line="360" w:lineRule="auto"/>
        <w:rPr>
          <w:rFonts w:ascii="Times New Roman" w:hAnsi="Times New Roman" w:cs="Times New Roman"/>
          <w:b/>
          <w:bCs/>
          <w:sz w:val="28"/>
          <w:szCs w:val="28"/>
        </w:rPr>
      </w:pPr>
      <w:r w:rsidRPr="00EE0975">
        <w:rPr>
          <w:rFonts w:ascii="Times New Roman" w:hAnsi="Times New Roman" w:cs="Times New Roman"/>
          <w:b/>
          <w:bCs/>
          <w:sz w:val="28"/>
          <w:szCs w:val="28"/>
        </w:rPr>
        <w:lastRenderedPageBreak/>
        <w:t xml:space="preserve">Introduction </w:t>
      </w:r>
    </w:p>
    <w:p w14:paraId="112A8BE4" w14:textId="00B97E2B" w:rsidR="00EE0975" w:rsidRPr="00EE0975" w:rsidRDefault="00EE0975" w:rsidP="001F68CA">
      <w:pPr>
        <w:spacing w:before="100" w:beforeAutospacing="1" w:after="100" w:afterAutospacing="1" w:line="360" w:lineRule="auto"/>
        <w:ind w:firstLine="720"/>
        <w:rPr>
          <w:rFonts w:ascii="Times New Roman" w:eastAsia="Times New Roman" w:hAnsi="Times New Roman" w:cs="Times New Roman"/>
          <w:kern w:val="0"/>
          <w14:ligatures w14:val="none"/>
        </w:rPr>
      </w:pPr>
      <w:r w:rsidRPr="00EE0975">
        <w:rPr>
          <w:rFonts w:ascii="Times New Roman" w:eastAsia="Times New Roman" w:hAnsi="Times New Roman" w:cs="Times New Roman"/>
          <w:kern w:val="0"/>
          <w14:ligatures w14:val="none"/>
        </w:rPr>
        <w:t xml:space="preserve">Business Development Companies occupy an unusual place in the financial system. Their shares trade daily in public markets, but their portfolios are largely tied to private-credit investments in small and middle-market firms. This makes BDCs a useful setting for studying valuation because they connect two different pricing </w:t>
      </w:r>
      <w:r w:rsidR="00397741" w:rsidRPr="00EE0975">
        <w:rPr>
          <w:rFonts w:ascii="Times New Roman" w:eastAsia="Times New Roman" w:hAnsi="Times New Roman" w:cs="Times New Roman"/>
          <w:kern w:val="0"/>
          <w14:ligatures w14:val="none"/>
        </w:rPr>
        <w:t>environments,</w:t>
      </w:r>
      <w:r w:rsidR="001F68CA">
        <w:rPr>
          <w:rFonts w:ascii="Times New Roman" w:eastAsia="Times New Roman" w:hAnsi="Times New Roman" w:cs="Times New Roman"/>
          <w:kern w:val="0"/>
          <w14:ligatures w14:val="none"/>
        </w:rPr>
        <w:t xml:space="preserve"> being</w:t>
      </w:r>
      <w:r w:rsidRPr="00EE0975">
        <w:rPr>
          <w:rFonts w:ascii="Times New Roman" w:eastAsia="Times New Roman" w:hAnsi="Times New Roman" w:cs="Times New Roman"/>
          <w:kern w:val="0"/>
          <w14:ligatures w14:val="none"/>
        </w:rPr>
        <w:t xml:space="preserve"> the continuous pricing of public equity markets and the periodic valuation of private loans and illiquid credit assets.</w:t>
      </w:r>
      <w:r w:rsidR="001F68CA">
        <w:rPr>
          <w:rFonts w:ascii="Times New Roman" w:eastAsia="Times New Roman" w:hAnsi="Times New Roman" w:cs="Times New Roman"/>
          <w:kern w:val="0"/>
          <w14:ligatures w14:val="none"/>
        </w:rPr>
        <w:t xml:space="preserve"> </w:t>
      </w:r>
      <w:r w:rsidRPr="00EE0975">
        <w:rPr>
          <w:rFonts w:ascii="Times New Roman" w:eastAsia="Times New Roman" w:hAnsi="Times New Roman" w:cs="Times New Roman"/>
          <w:kern w:val="0"/>
          <w14:ligatures w14:val="none"/>
        </w:rPr>
        <w:t xml:space="preserve">The rise of BDCs is part of a broader shift in credit intermediation after the global financial crisis. As large banks became more constrained by regulation, capital requirements, and risk-management pressures, many smaller and middle-market borrowers faced tighter access to traditional financing. Large-bank lending to small businesses fell sharply after 2008 and remained depressed for several years, leaving affected areas with tighter credit and higher borrowing costs (Chen, Hanson, and Stein, 2017). In this environment, BDCs became more important as direct lenders that provide capital to middle-market firms and can substitute for traditional financing when bank credit supply contracts (Davydiuk, Marchuk, and Rosen, 2024). </w:t>
      </w:r>
    </w:p>
    <w:p w14:paraId="0B32A751" w14:textId="04525D98" w:rsidR="00EE0975" w:rsidRPr="00EE0975" w:rsidRDefault="00EE0975" w:rsidP="001F68CA">
      <w:pPr>
        <w:spacing w:before="100" w:beforeAutospacing="1" w:after="100" w:afterAutospacing="1" w:line="360" w:lineRule="auto"/>
        <w:ind w:firstLine="720"/>
        <w:rPr>
          <w:rFonts w:ascii="Times New Roman" w:eastAsia="Times New Roman" w:hAnsi="Times New Roman" w:cs="Times New Roman"/>
          <w:kern w:val="0"/>
          <w14:ligatures w14:val="none"/>
        </w:rPr>
      </w:pPr>
      <w:r w:rsidRPr="00EE0975">
        <w:rPr>
          <w:rFonts w:ascii="Times New Roman" w:eastAsia="Times New Roman" w:hAnsi="Times New Roman" w:cs="Times New Roman"/>
          <w:kern w:val="0"/>
          <w14:ligatures w14:val="none"/>
        </w:rPr>
        <w:t>This public-facing role creates the central valuation tension of the study. BDC market prices are observed continuously, while net asset value, or NAV, is released only periodically and often reflects judgment-based valuations of private or illiquid assets. As a result, there can be a gap between the daily market value of a BDC and the reported value of the portfolio it holds. That gap matters because BDC valuation reflects</w:t>
      </w:r>
      <w:r w:rsidR="001F68CA">
        <w:rPr>
          <w:rFonts w:ascii="Times New Roman" w:eastAsia="Times New Roman" w:hAnsi="Times New Roman" w:cs="Times New Roman"/>
          <w:kern w:val="0"/>
          <w14:ligatures w14:val="none"/>
        </w:rPr>
        <w:t xml:space="preserve"> </w:t>
      </w:r>
      <w:r w:rsidRPr="00EE0975">
        <w:rPr>
          <w:rFonts w:ascii="Times New Roman" w:eastAsia="Times New Roman" w:hAnsi="Times New Roman" w:cs="Times New Roman"/>
          <w:kern w:val="0"/>
          <w14:ligatures w14:val="none"/>
        </w:rPr>
        <w:t>the asset-side value captured by NAV and the market-side price investors assign to that portfolio.</w:t>
      </w:r>
      <w:r w:rsidRPr="001F68CA">
        <w:rPr>
          <w:rFonts w:ascii="Times New Roman" w:eastAsia="Times New Roman" w:hAnsi="Times New Roman" w:cs="Times New Roman"/>
          <w:kern w:val="0"/>
          <w14:ligatures w14:val="none"/>
        </w:rPr>
        <w:t xml:space="preserve"> </w:t>
      </w:r>
      <w:r w:rsidRPr="00EE0975">
        <w:rPr>
          <w:rFonts w:ascii="Times New Roman" w:eastAsia="Times New Roman" w:hAnsi="Times New Roman" w:cs="Times New Roman"/>
          <w:kern w:val="0"/>
          <w14:ligatures w14:val="none"/>
        </w:rPr>
        <w:t>Prior research supports this distinction</w:t>
      </w:r>
      <w:r w:rsidR="001F68CA">
        <w:rPr>
          <w:rFonts w:ascii="Times New Roman" w:eastAsia="Times New Roman" w:hAnsi="Times New Roman" w:cs="Times New Roman"/>
          <w:kern w:val="0"/>
          <w14:ligatures w14:val="none"/>
        </w:rPr>
        <w:t xml:space="preserve"> because </w:t>
      </w:r>
      <w:r w:rsidRPr="00EE0975">
        <w:rPr>
          <w:rFonts w:ascii="Times New Roman" w:eastAsia="Times New Roman" w:hAnsi="Times New Roman" w:cs="Times New Roman"/>
          <w:kern w:val="0"/>
          <w14:ligatures w14:val="none"/>
        </w:rPr>
        <w:t xml:space="preserve"> BDCs were created to finance businesses that have difficulty accessing conventional capital markets, but their regulatory structure also gives them flexibility that can increase risk relative to ordinary investment companies (Warburton, 2020). BDC performance can differ depending on whether it is measured using market values or NAV values, which suggests that public-market pricing and reported portfolio value are not identical (Suhonen, 2024). Evidence from the closed-end fund literature also shows that BDCs may trade at discounts or premiums to NAV, making the price-to-NAV relationship central to understanding their valuation (</w:t>
      </w:r>
      <w:proofErr w:type="spellStart"/>
      <w:r w:rsidRPr="00EE0975">
        <w:rPr>
          <w:rFonts w:ascii="Times New Roman" w:eastAsia="Times New Roman" w:hAnsi="Times New Roman" w:cs="Times New Roman"/>
          <w:kern w:val="0"/>
          <w14:ligatures w14:val="none"/>
        </w:rPr>
        <w:t>Fenaroli</w:t>
      </w:r>
      <w:proofErr w:type="spellEnd"/>
      <w:r w:rsidRPr="00EE0975">
        <w:rPr>
          <w:rFonts w:ascii="Times New Roman" w:eastAsia="Times New Roman" w:hAnsi="Times New Roman" w:cs="Times New Roman"/>
          <w:kern w:val="0"/>
          <w14:ligatures w14:val="none"/>
        </w:rPr>
        <w:t xml:space="preserve">, 2019). </w:t>
      </w:r>
    </w:p>
    <w:p w14:paraId="6DFD7616" w14:textId="6CB9D281" w:rsidR="00EE0975" w:rsidRPr="00EE0975" w:rsidRDefault="00EE0975" w:rsidP="001F68CA">
      <w:pPr>
        <w:spacing w:before="100" w:beforeAutospacing="1" w:after="100" w:afterAutospacing="1" w:line="360" w:lineRule="auto"/>
        <w:ind w:firstLine="720"/>
        <w:rPr>
          <w:rFonts w:ascii="Times New Roman" w:eastAsia="Times New Roman" w:hAnsi="Times New Roman" w:cs="Times New Roman"/>
          <w:kern w:val="0"/>
          <w14:ligatures w14:val="none"/>
        </w:rPr>
      </w:pPr>
      <w:r w:rsidRPr="00EE0975">
        <w:rPr>
          <w:rFonts w:ascii="Times New Roman" w:eastAsia="Times New Roman" w:hAnsi="Times New Roman" w:cs="Times New Roman"/>
          <w:kern w:val="0"/>
          <w14:ligatures w14:val="none"/>
        </w:rPr>
        <w:lastRenderedPageBreak/>
        <w:t>This study asks how strongly BDC market valuations remain connected to NAV-based fundamentals when broader financial conditions change. The question is important because BDCs are credit vehicles. Their portfolios are exposed to borrower risk, interest-rate movements, funding costs, and changes in risk premia. When interest rates rise or credit spreads widen, market prices may become more sensitive to current discount-rate and credit-risk conditions and less anchored to the most recently reported NAV.</w:t>
      </w:r>
      <w:r w:rsidRPr="001F68CA">
        <w:rPr>
          <w:rFonts w:ascii="Times New Roman" w:eastAsia="Times New Roman" w:hAnsi="Times New Roman" w:cs="Times New Roman"/>
          <w:kern w:val="0"/>
          <w14:ligatures w14:val="none"/>
        </w:rPr>
        <w:t xml:space="preserve"> </w:t>
      </w:r>
      <w:r w:rsidRPr="00EE0975">
        <w:rPr>
          <w:rFonts w:ascii="Times New Roman" w:eastAsia="Times New Roman" w:hAnsi="Times New Roman" w:cs="Times New Roman"/>
          <w:kern w:val="0"/>
          <w14:ligatures w14:val="none"/>
        </w:rPr>
        <w:t>This logic is consistent with evidence that BDC returns are sensitive to interest-rate movements because of their distinctive asset-liability structure and high dividend payout profile (Park, 2013). It is also consistent with private-credit research showing that direct lenders serve borrower segments that differ from traditional bank borrowers, including firms that are younger, more specialized, or more dependent on private financing relationships (Carey, Post, and Sharpe, 1998; Jang, Kim, and Sufi, 2025). These features make BDC valuation especially sensitive to changing credit conditions because market prices may adjust to risk before reported NAV fully reflects it.</w:t>
      </w:r>
    </w:p>
    <w:p w14:paraId="2FA80F39" w14:textId="0DC55851" w:rsidR="00EE0975" w:rsidRPr="001F68CA" w:rsidRDefault="00EE0975" w:rsidP="001F68CA">
      <w:pPr>
        <w:spacing w:before="100" w:beforeAutospacing="1" w:after="100" w:afterAutospacing="1" w:line="360" w:lineRule="auto"/>
        <w:ind w:firstLine="720"/>
        <w:rPr>
          <w:rFonts w:ascii="Times New Roman" w:eastAsia="Times New Roman" w:hAnsi="Times New Roman" w:cs="Times New Roman"/>
          <w:kern w:val="0"/>
          <w14:ligatures w14:val="none"/>
        </w:rPr>
      </w:pPr>
      <w:r w:rsidRPr="00EE0975">
        <w:rPr>
          <w:rFonts w:ascii="Times New Roman" w:eastAsia="Times New Roman" w:hAnsi="Times New Roman" w:cs="Times New Roman"/>
          <w:kern w:val="0"/>
          <w14:ligatures w14:val="none"/>
        </w:rPr>
        <w:t xml:space="preserve">The contribution of </w:t>
      </w:r>
      <w:r w:rsidR="001F68CA">
        <w:rPr>
          <w:rFonts w:ascii="Times New Roman" w:eastAsia="Times New Roman" w:hAnsi="Times New Roman" w:cs="Times New Roman"/>
          <w:kern w:val="0"/>
          <w14:ligatures w14:val="none"/>
        </w:rPr>
        <w:t>our</w:t>
      </w:r>
      <w:r w:rsidRPr="00EE0975">
        <w:rPr>
          <w:rFonts w:ascii="Times New Roman" w:eastAsia="Times New Roman" w:hAnsi="Times New Roman" w:cs="Times New Roman"/>
          <w:kern w:val="0"/>
          <w14:ligatures w14:val="none"/>
        </w:rPr>
        <w:t xml:space="preserve"> study is to frame BDC valuation as a state-dependent relationship rather than a fixed link between NAV and market price. NAV should matter because it summarizes the reported value of the underlying portfolio, but its usefulness may weaken when rates and credit spreads shift the market’s focus toward discounting and risk compensation. By studying BDCs, this project examines how public markets value private-credit exposure when the fundamental signal is informative but delayed.</w:t>
      </w:r>
    </w:p>
    <w:p w14:paraId="266F4AF1" w14:textId="35DC7A17" w:rsidR="00EE0975" w:rsidRPr="00EE0975" w:rsidRDefault="00EE0975" w:rsidP="001F68CA">
      <w:pPr>
        <w:spacing w:before="100" w:beforeAutospacing="1" w:after="100" w:afterAutospacing="1" w:line="360" w:lineRule="auto"/>
        <w:rPr>
          <w:rFonts w:ascii="Times New Roman" w:eastAsia="Times New Roman" w:hAnsi="Times New Roman" w:cs="Times New Roman"/>
          <w:b/>
          <w:bCs/>
          <w:kern w:val="0"/>
          <w:sz w:val="28"/>
          <w:szCs w:val="28"/>
          <w14:ligatures w14:val="none"/>
        </w:rPr>
      </w:pPr>
      <w:r w:rsidRPr="00EE0975">
        <w:rPr>
          <w:rFonts w:ascii="Times New Roman" w:eastAsia="Times New Roman" w:hAnsi="Times New Roman" w:cs="Times New Roman"/>
          <w:b/>
          <w:bCs/>
          <w:kern w:val="0"/>
          <w:sz w:val="28"/>
          <w:szCs w:val="28"/>
          <w14:ligatures w14:val="none"/>
        </w:rPr>
        <w:t xml:space="preserve">Literature Review </w:t>
      </w:r>
    </w:p>
    <w:p w14:paraId="1DA638A6" w14:textId="2F5E897B" w:rsidR="00EE0975" w:rsidRPr="001F68CA" w:rsidRDefault="00EE0975" w:rsidP="001F68CA">
      <w:pPr>
        <w:spacing w:before="100" w:beforeAutospacing="1" w:after="100" w:afterAutospacing="1" w:line="360" w:lineRule="auto"/>
        <w:ind w:firstLine="720"/>
        <w:rPr>
          <w:rFonts w:ascii="Times New Roman" w:eastAsia="Times New Roman" w:hAnsi="Times New Roman" w:cs="Times New Roman"/>
          <w:kern w:val="0"/>
          <w14:ligatures w14:val="none"/>
        </w:rPr>
      </w:pPr>
      <w:r w:rsidRPr="001F68CA">
        <w:rPr>
          <w:rFonts w:ascii="Times New Roman" w:eastAsia="Times New Roman" w:hAnsi="Times New Roman" w:cs="Times New Roman"/>
          <w:kern w:val="0"/>
          <w14:ligatures w14:val="none"/>
        </w:rPr>
        <w:t>We follow the literature in framing the</w:t>
      </w:r>
      <w:r w:rsidRPr="00EE0975">
        <w:rPr>
          <w:rFonts w:ascii="Times New Roman" w:eastAsia="Times New Roman" w:hAnsi="Times New Roman" w:cs="Times New Roman"/>
          <w:kern w:val="0"/>
          <w14:ligatures w14:val="none"/>
        </w:rPr>
        <w:t xml:space="preserve"> BDCs as public vehicles for private-credit exposure, where market prices are observed continuously but NAV is reported only periodically. This literature review builds from that tension</w:t>
      </w:r>
      <w:r w:rsidRPr="001F68CA">
        <w:rPr>
          <w:rFonts w:ascii="Times New Roman" w:eastAsia="Times New Roman" w:hAnsi="Times New Roman" w:cs="Times New Roman"/>
          <w:kern w:val="0"/>
          <w14:ligatures w14:val="none"/>
        </w:rPr>
        <w:t xml:space="preserve"> because the</w:t>
      </w:r>
      <w:r w:rsidRPr="00EE0975">
        <w:rPr>
          <w:rFonts w:ascii="Times New Roman" w:eastAsia="Times New Roman" w:hAnsi="Times New Roman" w:cs="Times New Roman"/>
          <w:kern w:val="0"/>
          <w14:ligatures w14:val="none"/>
        </w:rPr>
        <w:t xml:space="preserve"> central issue is not simply whether BDCs earn high or low returns, but why their market valuation may diverge from, or become less sensitive to, the reported value of the underlying portfolio. To understand that question, the literature can be organized around three connected ideas</w:t>
      </w:r>
      <w:r w:rsidR="001F68CA">
        <w:rPr>
          <w:rFonts w:ascii="Times New Roman" w:eastAsia="Times New Roman" w:hAnsi="Times New Roman" w:cs="Times New Roman"/>
          <w:kern w:val="0"/>
          <w14:ligatures w14:val="none"/>
        </w:rPr>
        <w:t>, which are</w:t>
      </w:r>
      <w:r w:rsidRPr="00EE0975">
        <w:rPr>
          <w:rFonts w:ascii="Times New Roman" w:eastAsia="Times New Roman" w:hAnsi="Times New Roman" w:cs="Times New Roman"/>
          <w:kern w:val="0"/>
          <w14:ligatures w14:val="none"/>
        </w:rPr>
        <w:t xml:space="preserve"> the rise of BDCs within private credit, the distinction between NAV-based performance and market-based valuation, and the role of macro-financial conditions in shaping how strongly market prices respond to NAV.</w:t>
      </w:r>
    </w:p>
    <w:p w14:paraId="49E3CD6B" w14:textId="6CE1632A" w:rsidR="00EE0975" w:rsidRPr="00EE0975" w:rsidRDefault="00EE0975" w:rsidP="001F68CA">
      <w:pPr>
        <w:spacing w:before="100" w:beforeAutospacing="1" w:after="100" w:afterAutospacing="1" w:line="360" w:lineRule="auto"/>
        <w:ind w:firstLine="720"/>
        <w:rPr>
          <w:rFonts w:ascii="Times New Roman" w:eastAsia="Times New Roman" w:hAnsi="Times New Roman" w:cs="Times New Roman"/>
          <w:kern w:val="0"/>
          <w14:ligatures w14:val="none"/>
        </w:rPr>
      </w:pPr>
      <w:r w:rsidRPr="00EE0975">
        <w:rPr>
          <w:rFonts w:ascii="Times New Roman" w:eastAsia="Times New Roman" w:hAnsi="Times New Roman" w:cs="Times New Roman"/>
          <w:kern w:val="0"/>
          <w14:ligatures w14:val="none"/>
        </w:rPr>
        <w:lastRenderedPageBreak/>
        <w:t xml:space="preserve">BDCs became important because the structure of credit provision changed after the global financial crisis. As traditional banks faced tighter regulation, higher capital requirements, and stronger risk-management pressures, the supply of credit to small and middle-market borrowers became more constrained. This created space for nonbank lenders to expand into segments where banks were less willing or less able to lend. Chen, Hanson, and Stein show that lending by the largest banks to small businesses fell sharply after 2008 and remained depressed for several years, with affected areas experiencing tighter credit and higher borrowing costs (Chen, Hanson, and Stein, 2017). Davydiuk, Marchuk, and Rosen place BDCs directly in this setting by showing that BDC capital can substitute for traditional financing when bank credit supply contracts, making BDCs an important part of the post-crisis expansion of direct lending (Davydiuk, Marchuk, and Rosen, 2024). </w:t>
      </w:r>
    </w:p>
    <w:p w14:paraId="434C6441" w14:textId="084BDDC3" w:rsidR="00EE0975" w:rsidRPr="00EE0975" w:rsidRDefault="00EE0975" w:rsidP="001F68CA">
      <w:pPr>
        <w:spacing w:before="100" w:beforeAutospacing="1" w:after="100" w:afterAutospacing="1" w:line="360" w:lineRule="auto"/>
        <w:ind w:firstLine="720"/>
        <w:rPr>
          <w:rFonts w:ascii="Times New Roman" w:eastAsia="Times New Roman" w:hAnsi="Times New Roman" w:cs="Times New Roman"/>
          <w:kern w:val="0"/>
          <w14:ligatures w14:val="none"/>
        </w:rPr>
      </w:pPr>
      <w:r w:rsidRPr="00EE0975">
        <w:rPr>
          <w:rFonts w:ascii="Times New Roman" w:eastAsia="Times New Roman" w:hAnsi="Times New Roman" w:cs="Times New Roman"/>
          <w:kern w:val="0"/>
          <w14:ligatures w14:val="none"/>
        </w:rPr>
        <w:t>This shift matters for valuation because BDCs are not ordinary financial firms</w:t>
      </w:r>
      <w:r w:rsidRPr="001F68CA">
        <w:rPr>
          <w:rFonts w:ascii="Times New Roman" w:eastAsia="Times New Roman" w:hAnsi="Times New Roman" w:cs="Times New Roman"/>
          <w:kern w:val="0"/>
          <w14:ligatures w14:val="none"/>
        </w:rPr>
        <w:t>, t</w:t>
      </w:r>
      <w:r w:rsidRPr="00EE0975">
        <w:rPr>
          <w:rFonts w:ascii="Times New Roman" w:eastAsia="Times New Roman" w:hAnsi="Times New Roman" w:cs="Times New Roman"/>
          <w:kern w:val="0"/>
          <w14:ligatures w14:val="none"/>
        </w:rPr>
        <w:t>hey are publicly traded investment companies, but their assets are closely tied to private lending. Warburton describes BDCs as investment companies created to finance businesses that traditionally struggle to access conventional capital markets, while also emphasizing that their regulatory structure gives them more flexibility in leverage and related-party transactions than ordinary investment companies (Warburton, 2020). This hybrid structure is essential to the current study</w:t>
      </w:r>
      <w:r w:rsidR="001F68CA">
        <w:rPr>
          <w:rFonts w:ascii="Times New Roman" w:eastAsia="Times New Roman" w:hAnsi="Times New Roman" w:cs="Times New Roman"/>
          <w:kern w:val="0"/>
          <w14:ligatures w14:val="none"/>
        </w:rPr>
        <w:t xml:space="preserve"> because</w:t>
      </w:r>
      <w:r w:rsidRPr="00EE0975">
        <w:rPr>
          <w:rFonts w:ascii="Times New Roman" w:eastAsia="Times New Roman" w:hAnsi="Times New Roman" w:cs="Times New Roman"/>
          <w:kern w:val="0"/>
          <w14:ligatures w14:val="none"/>
        </w:rPr>
        <w:t xml:space="preserve"> BDCs bring private-credit assets into public markets, but the valuation of those assets is not as transparent or continuous as the valuation of publicly traded securities. As a result, the market price of a BDC may reflect both the reported value of the loan portfolio and public-market forces that are only indirectly connected to the most recent NAV.</w:t>
      </w:r>
    </w:p>
    <w:p w14:paraId="64AED80B" w14:textId="1AB65A5E" w:rsidR="00EE0975" w:rsidRPr="00EE0975" w:rsidRDefault="00EE0975" w:rsidP="001F68CA">
      <w:pPr>
        <w:spacing w:before="100" w:beforeAutospacing="1" w:after="100" w:afterAutospacing="1" w:line="360" w:lineRule="auto"/>
        <w:ind w:firstLine="720"/>
        <w:rPr>
          <w:rFonts w:ascii="Times New Roman" w:eastAsia="Times New Roman" w:hAnsi="Times New Roman" w:cs="Times New Roman"/>
          <w:kern w:val="0"/>
          <w14:ligatures w14:val="none"/>
        </w:rPr>
      </w:pPr>
      <w:r w:rsidRPr="00EE0975">
        <w:rPr>
          <w:rFonts w:ascii="Times New Roman" w:eastAsia="Times New Roman" w:hAnsi="Times New Roman" w:cs="Times New Roman"/>
          <w:kern w:val="0"/>
          <w14:ligatures w14:val="none"/>
        </w:rPr>
        <w:t>The next strand of literature shows why NAV and market prices should be treated as related but distinct valuation measures. Suhonen studies listed BDCs and finds that BDC performance differs depending on whether returns are measured using market values or NAV values, with market-value returns and NAV-based returns exhibiting different risk and performance patterns (Suhonen, 2024). Kuan similarly studies BDCs as the public face of private credit and emphasizes that BDC performance is shaped by portfolio composition, leverage, yield, and NAV-based return dynamics (Kuan, 2025). Together, these studies support the idea that BDC valuation has an asset-side layer reflected in NAV and a market-side layer reflected in traded prices.</w:t>
      </w:r>
    </w:p>
    <w:p w14:paraId="22A3144F" w14:textId="77777777" w:rsidR="00EE0975" w:rsidRPr="00EE0975" w:rsidRDefault="00EE0975" w:rsidP="001F68CA">
      <w:pPr>
        <w:spacing w:before="100" w:beforeAutospacing="1" w:after="100" w:afterAutospacing="1" w:line="360" w:lineRule="auto"/>
        <w:ind w:firstLine="720"/>
        <w:rPr>
          <w:rFonts w:ascii="Times New Roman" w:eastAsia="Times New Roman" w:hAnsi="Times New Roman" w:cs="Times New Roman"/>
          <w:kern w:val="0"/>
          <w14:ligatures w14:val="none"/>
        </w:rPr>
      </w:pPr>
      <w:r w:rsidRPr="00EE0975">
        <w:rPr>
          <w:rFonts w:ascii="Times New Roman" w:eastAsia="Times New Roman" w:hAnsi="Times New Roman" w:cs="Times New Roman"/>
          <w:kern w:val="0"/>
          <w14:ligatures w14:val="none"/>
        </w:rPr>
        <w:lastRenderedPageBreak/>
        <w:t xml:space="preserve">The closed-end fund literature sharpens this point because BDCs, like closed-end funds, can trade at prices that differ from their reported NAV. </w:t>
      </w:r>
      <w:proofErr w:type="spellStart"/>
      <w:r w:rsidRPr="00EE0975">
        <w:rPr>
          <w:rFonts w:ascii="Times New Roman" w:eastAsia="Times New Roman" w:hAnsi="Times New Roman" w:cs="Times New Roman"/>
          <w:kern w:val="0"/>
          <w14:ligatures w14:val="none"/>
        </w:rPr>
        <w:t>Fenaroli</w:t>
      </w:r>
      <w:proofErr w:type="spellEnd"/>
      <w:r w:rsidRPr="00EE0975">
        <w:rPr>
          <w:rFonts w:ascii="Times New Roman" w:eastAsia="Times New Roman" w:hAnsi="Times New Roman" w:cs="Times New Roman"/>
          <w:kern w:val="0"/>
          <w14:ligatures w14:val="none"/>
        </w:rPr>
        <w:t xml:space="preserve"> shows that the closed-end fund discount puzzle appears in the BDC market and that BDC discounts may be driven more by price fluctuations and sentiment-related behavior than by traditional neoclassical explanations (</w:t>
      </w:r>
      <w:proofErr w:type="spellStart"/>
      <w:r w:rsidRPr="00EE0975">
        <w:rPr>
          <w:rFonts w:ascii="Times New Roman" w:eastAsia="Times New Roman" w:hAnsi="Times New Roman" w:cs="Times New Roman"/>
          <w:kern w:val="0"/>
          <w14:ligatures w14:val="none"/>
        </w:rPr>
        <w:t>Fenaroli</w:t>
      </w:r>
      <w:proofErr w:type="spellEnd"/>
      <w:r w:rsidRPr="00EE0975">
        <w:rPr>
          <w:rFonts w:ascii="Times New Roman" w:eastAsia="Times New Roman" w:hAnsi="Times New Roman" w:cs="Times New Roman"/>
          <w:kern w:val="0"/>
          <w14:ligatures w14:val="none"/>
        </w:rPr>
        <w:t>, 2019). This is important for the proposed study because it suggests that the price-to-NAV relationship is not automatic. Even when NAV provides a reported measure of underlying value, market prices may still move differently because investors interpret private-credit exposure through the lens of liquidity, sentiment, uncertainty, and current market conditions.</w:t>
      </w:r>
    </w:p>
    <w:p w14:paraId="654EED45" w14:textId="360EA9A7" w:rsidR="00EE0975" w:rsidRPr="00EE0975" w:rsidRDefault="00EE0975" w:rsidP="001F68CA">
      <w:pPr>
        <w:spacing w:before="100" w:beforeAutospacing="1" w:after="100" w:afterAutospacing="1" w:line="360" w:lineRule="auto"/>
        <w:ind w:firstLine="720"/>
        <w:rPr>
          <w:rFonts w:ascii="Times New Roman" w:eastAsia="Times New Roman" w:hAnsi="Times New Roman" w:cs="Times New Roman"/>
          <w:kern w:val="0"/>
          <w14:ligatures w14:val="none"/>
        </w:rPr>
      </w:pPr>
      <w:r w:rsidRPr="00EE0975">
        <w:rPr>
          <w:rFonts w:ascii="Times New Roman" w:eastAsia="Times New Roman" w:hAnsi="Times New Roman" w:cs="Times New Roman"/>
          <w:kern w:val="0"/>
          <w14:ligatures w14:val="none"/>
        </w:rPr>
        <w:t xml:space="preserve">The nature of the underlying borrowers further explains why NAV may be an imperfect or delayed valuation signal. Private-credit borrowers are often not the same as firms that access traditional </w:t>
      </w:r>
      <w:r w:rsidR="001F68CA" w:rsidRPr="00EE0975">
        <w:rPr>
          <w:rFonts w:ascii="Times New Roman" w:eastAsia="Times New Roman" w:hAnsi="Times New Roman" w:cs="Times New Roman"/>
          <w:kern w:val="0"/>
          <w14:ligatures w14:val="none"/>
        </w:rPr>
        <w:t>banks</w:t>
      </w:r>
      <w:r w:rsidRPr="00EE0975">
        <w:rPr>
          <w:rFonts w:ascii="Times New Roman" w:eastAsia="Times New Roman" w:hAnsi="Times New Roman" w:cs="Times New Roman"/>
          <w:kern w:val="0"/>
          <w14:ligatures w14:val="none"/>
        </w:rPr>
        <w:t xml:space="preserve"> or public debt markets. Carey, Post, and Sharpe show that private debt markets involve lender specialization, with finance companies serving observably riskier borrowers than banks (Carey, Post, and Sharpe, 1998). Jang, Kim, and Sufi extend this logic to direct lenders, showing that direct lenders serve a distinct borrower segment, including younger firms, firms in intangible-capital industries, and firms connected to private equity sponsors (Jang, Kim, and Sufi, 2025). These findings matter because BDC portfolios are built from assets whose values depend on borrower-specific information, monitoring, and credit conditions that public investors may not observe directly. Therefore, NAV can be informative while still being incomplete, delayed, or less responsive to current market conditions.</w:t>
      </w:r>
    </w:p>
    <w:p w14:paraId="21F4FCC9" w14:textId="77777777" w:rsidR="001F68CA" w:rsidRDefault="00EE0975" w:rsidP="001F68CA">
      <w:pPr>
        <w:spacing w:before="100" w:beforeAutospacing="1" w:after="100" w:afterAutospacing="1" w:line="360" w:lineRule="auto"/>
        <w:ind w:firstLine="720"/>
        <w:rPr>
          <w:rFonts w:ascii="Times New Roman" w:eastAsia="Times New Roman" w:hAnsi="Times New Roman" w:cs="Times New Roman"/>
          <w:kern w:val="0"/>
          <w14:ligatures w14:val="none"/>
        </w:rPr>
      </w:pPr>
      <w:r w:rsidRPr="00EE0975">
        <w:rPr>
          <w:rFonts w:ascii="Times New Roman" w:eastAsia="Times New Roman" w:hAnsi="Times New Roman" w:cs="Times New Roman"/>
          <w:kern w:val="0"/>
          <w14:ligatures w14:val="none"/>
        </w:rPr>
        <w:t>The literature on BDC investment behavior also suggests that differences across BDCs may affect how informative NAV is. Davydiuk, Erel, Jiang, and Marchuk show that many BDCs hold both debt and equity positions in the same portfolio firms, and that this dual-holder structure is connected to monitoring and loan pricing (Davydiuk, Erel, Jiang, and Marchuk, 2025). Patidar’s work on specialization in nonbank lending also suggests that BDCs differ in the extent to which they concentrate in specific industries, and that specialization can improve loan performance and terms. These papers support the broader point that BDCs are not homogeneous pools of credit</w:t>
      </w:r>
      <w:r w:rsidR="001F68CA">
        <w:rPr>
          <w:rFonts w:ascii="Times New Roman" w:eastAsia="Times New Roman" w:hAnsi="Times New Roman" w:cs="Times New Roman"/>
          <w:kern w:val="0"/>
          <w14:ligatures w14:val="none"/>
        </w:rPr>
        <w:t xml:space="preserve"> and that </w:t>
      </w:r>
      <w:r w:rsidRPr="00EE0975">
        <w:rPr>
          <w:rFonts w:ascii="Times New Roman" w:eastAsia="Times New Roman" w:hAnsi="Times New Roman" w:cs="Times New Roman"/>
          <w:kern w:val="0"/>
          <w14:ligatures w14:val="none"/>
        </w:rPr>
        <w:t xml:space="preserve">heir valuation may depend on portfolio structure, monitoring ability, industry specialization, and the type of borrowers they finance. </w:t>
      </w:r>
    </w:p>
    <w:p w14:paraId="627EE5F1" w14:textId="77777777" w:rsidR="001F68CA" w:rsidRDefault="00EE0975" w:rsidP="001F68CA">
      <w:pPr>
        <w:spacing w:before="100" w:beforeAutospacing="1" w:after="100" w:afterAutospacing="1" w:line="360" w:lineRule="auto"/>
        <w:ind w:firstLine="720"/>
        <w:rPr>
          <w:rFonts w:ascii="Times New Roman" w:eastAsia="Times New Roman" w:hAnsi="Times New Roman" w:cs="Times New Roman"/>
          <w:kern w:val="0"/>
          <w14:ligatures w14:val="none"/>
        </w:rPr>
      </w:pPr>
      <w:r w:rsidRPr="00EE0975">
        <w:rPr>
          <w:rFonts w:ascii="Times New Roman" w:eastAsia="Times New Roman" w:hAnsi="Times New Roman" w:cs="Times New Roman"/>
          <w:kern w:val="0"/>
          <w14:ligatures w14:val="none"/>
        </w:rPr>
        <w:t xml:space="preserve">The final strand of literature connects BDC valuation to macro-financial conditions. Park </w:t>
      </w:r>
    </w:p>
    <w:p w14:paraId="45976EA1" w14:textId="4EE0CF2E" w:rsidR="00EE0975" w:rsidRPr="00EE0975" w:rsidRDefault="00EE0975" w:rsidP="001F68CA">
      <w:pPr>
        <w:spacing w:before="100" w:beforeAutospacing="1" w:after="100" w:afterAutospacing="1" w:line="360" w:lineRule="auto"/>
        <w:rPr>
          <w:rFonts w:ascii="Times New Roman" w:eastAsia="Times New Roman" w:hAnsi="Times New Roman" w:cs="Times New Roman"/>
          <w:kern w:val="0"/>
          <w14:ligatures w14:val="none"/>
        </w:rPr>
      </w:pPr>
      <w:r w:rsidRPr="00EE0975">
        <w:rPr>
          <w:rFonts w:ascii="Times New Roman" w:eastAsia="Times New Roman" w:hAnsi="Times New Roman" w:cs="Times New Roman"/>
          <w:kern w:val="0"/>
          <w14:ligatures w14:val="none"/>
        </w:rPr>
        <w:lastRenderedPageBreak/>
        <w:t>directly studies the interest-rate sensitivity of BDC stock returns and motivates this sensitivity through BDCs’ unique asset-liability structure and high dividend payout profile (Park, 2013). This is closely related to the current proposal because rising interest rates may change the discount rate applied to future cash flows, alter funding costs, and affect the attractiveness of high-dividend financial assets. When rates move, the market may rely less on stale NAV and more on current rate conditions in valuing BDC shares.</w:t>
      </w:r>
      <w:r w:rsidR="00035D5B" w:rsidRPr="001F68CA">
        <w:rPr>
          <w:rFonts w:ascii="Times New Roman" w:eastAsia="Times New Roman" w:hAnsi="Times New Roman" w:cs="Times New Roman"/>
          <w:kern w:val="0"/>
          <w14:ligatures w14:val="none"/>
        </w:rPr>
        <w:t xml:space="preserve"> </w:t>
      </w:r>
      <w:r w:rsidRPr="00EE0975">
        <w:rPr>
          <w:rFonts w:ascii="Times New Roman" w:eastAsia="Times New Roman" w:hAnsi="Times New Roman" w:cs="Times New Roman"/>
          <w:kern w:val="0"/>
          <w14:ligatures w14:val="none"/>
        </w:rPr>
        <w:t>Credit spreads provide the second macro-financial channel. Because BDCs invest in private-credit borrowers, changes in credit spreads may alter the compensation investors require for bearing credit risk. Acharya, Berger, and Roman show that stress-tested banks reduced credit supply, especially to riskier borrowers, consistent with a risk-management response to tighter conditions (Acharya, Berger, and Roman, 2018). Davydiuk, Marchuk, and Rosen’s market-discipline paper also shows that BDCs respond to capital-market pressures by reducing risk exposure and shifting toward safer investments when funding conditions tighten (Davydiuk, Marchuk, and Rosen, 2024). These studies reinforce the idea that credit conditions are not just background controls. They can change how intermediaries behave and how markets value credit exposure.</w:t>
      </w:r>
    </w:p>
    <w:p w14:paraId="5D7BDE91" w14:textId="2377A7C1" w:rsidR="00EE0975" w:rsidRPr="00EE0975" w:rsidRDefault="00035D5B" w:rsidP="001F68CA">
      <w:pPr>
        <w:spacing w:before="100" w:beforeAutospacing="1" w:after="100" w:afterAutospacing="1" w:line="360" w:lineRule="auto"/>
        <w:ind w:firstLine="720"/>
        <w:rPr>
          <w:rFonts w:ascii="Times New Roman" w:eastAsia="Times New Roman" w:hAnsi="Times New Roman" w:cs="Times New Roman"/>
          <w:kern w:val="0"/>
          <w14:ligatures w14:val="none"/>
        </w:rPr>
      </w:pPr>
      <w:r w:rsidRPr="001F68CA">
        <w:rPr>
          <w:rFonts w:ascii="Times New Roman" w:eastAsia="Times New Roman" w:hAnsi="Times New Roman" w:cs="Times New Roman"/>
          <w:kern w:val="0"/>
          <w14:ligatures w14:val="none"/>
        </w:rPr>
        <w:t>Overall</w:t>
      </w:r>
      <w:r w:rsidR="00EE0975" w:rsidRPr="00EE0975">
        <w:rPr>
          <w:rFonts w:ascii="Times New Roman" w:eastAsia="Times New Roman" w:hAnsi="Times New Roman" w:cs="Times New Roman"/>
          <w:kern w:val="0"/>
          <w14:ligatures w14:val="none"/>
        </w:rPr>
        <w:t>, the literature points to the central gap this study addresses. Prior work explains why BDCs matter as direct lenders, why their portfolios are connected to private-credit borrowers, why NAV and market values may differ, and why interest rates and credit spreads are important for financial intermediaries. What remains less developed is how these pieces fit together in a single valuation framework. Specifically, existing work has not fully examined whether the sensitivity of BDC market returns to NAV-based fundamentals weakens when macro conditions shift valuation toward discount rates and credit-risk premia. This proposal addresses that gap by treating the NAV-to-market return relationship as state-dependent rather than fixed.</w:t>
      </w:r>
    </w:p>
    <w:p w14:paraId="04AD0E93" w14:textId="41250B85" w:rsidR="00035D5B" w:rsidRPr="00035D5B" w:rsidRDefault="00035D5B" w:rsidP="001F68CA">
      <w:pPr>
        <w:spacing w:before="100" w:beforeAutospacing="1" w:after="100" w:afterAutospacing="1" w:line="360" w:lineRule="auto"/>
        <w:rPr>
          <w:rFonts w:ascii="Times New Roman" w:eastAsia="Times New Roman" w:hAnsi="Times New Roman" w:cs="Times New Roman"/>
          <w:b/>
          <w:bCs/>
          <w:kern w:val="0"/>
          <w:sz w:val="28"/>
          <w:szCs w:val="28"/>
          <w14:ligatures w14:val="none"/>
        </w:rPr>
      </w:pPr>
      <w:r w:rsidRPr="00035D5B">
        <w:rPr>
          <w:rFonts w:ascii="Times New Roman" w:eastAsia="Times New Roman" w:hAnsi="Times New Roman" w:cs="Times New Roman"/>
          <w:b/>
          <w:bCs/>
          <w:kern w:val="0"/>
          <w:sz w:val="28"/>
          <w:szCs w:val="28"/>
          <w14:ligatures w14:val="none"/>
        </w:rPr>
        <w:t>Hypothesis Development</w:t>
      </w:r>
    </w:p>
    <w:p w14:paraId="7E14DC44" w14:textId="77777777" w:rsidR="00035D5B" w:rsidRPr="00035D5B" w:rsidRDefault="00035D5B" w:rsidP="001F68CA">
      <w:pPr>
        <w:spacing w:before="100" w:beforeAutospacing="1" w:after="100" w:afterAutospacing="1" w:line="360" w:lineRule="auto"/>
        <w:ind w:firstLine="720"/>
        <w:rPr>
          <w:rFonts w:ascii="Times New Roman" w:eastAsia="Times New Roman" w:hAnsi="Times New Roman" w:cs="Times New Roman"/>
          <w:kern w:val="0"/>
          <w14:ligatures w14:val="none"/>
        </w:rPr>
      </w:pPr>
      <w:r w:rsidRPr="00035D5B">
        <w:rPr>
          <w:rFonts w:ascii="Times New Roman" w:eastAsia="Times New Roman" w:hAnsi="Times New Roman" w:cs="Times New Roman"/>
          <w:kern w:val="0"/>
          <w14:ligatures w14:val="none"/>
        </w:rPr>
        <w:t xml:space="preserve">The core assets of BDCs consist mainly of loans to small and middle-market firms, private companies, and other forms of private debt investments. Unlike publicly traded bonds or standardized loans, these assets are typically less liquid, less transparent, and more difficult for external investors to value directly. Investors may not be able to observe the true operating </w:t>
      </w:r>
      <w:r w:rsidRPr="00035D5B">
        <w:rPr>
          <w:rFonts w:ascii="Times New Roman" w:eastAsia="Times New Roman" w:hAnsi="Times New Roman" w:cs="Times New Roman"/>
          <w:kern w:val="0"/>
          <w14:ligatures w14:val="none"/>
        </w:rPr>
        <w:lastRenderedPageBreak/>
        <w:t>conditions and risk characteristics of the borrowers in real time. Therefore, although the NAV of BDCs can to some extent reflect the performance of their underlying assets, whether market prices consistently and efficiently track changes in NAV still requires further empirical examination.</w:t>
      </w:r>
    </w:p>
    <w:p w14:paraId="015305C2" w14:textId="0AE42329" w:rsidR="00035D5B" w:rsidRPr="00035D5B" w:rsidRDefault="00035D5B" w:rsidP="001F68CA">
      <w:pPr>
        <w:spacing w:before="100" w:beforeAutospacing="1" w:after="100" w:afterAutospacing="1" w:line="360" w:lineRule="auto"/>
        <w:ind w:firstLine="720"/>
        <w:rPr>
          <w:rFonts w:ascii="Times New Roman" w:eastAsia="Times New Roman" w:hAnsi="Times New Roman" w:cs="Times New Roman"/>
          <w:kern w:val="0"/>
          <w14:ligatures w14:val="none"/>
        </w:rPr>
      </w:pPr>
      <w:r w:rsidRPr="00035D5B">
        <w:rPr>
          <w:rFonts w:ascii="Times New Roman" w:eastAsia="Times New Roman" w:hAnsi="Times New Roman" w:cs="Times New Roman"/>
          <w:kern w:val="0"/>
          <w14:ligatures w14:val="none"/>
        </w:rPr>
        <w:t>This concern is consistent with the private-debt literature</w:t>
      </w:r>
      <w:r w:rsidR="001F68CA">
        <w:rPr>
          <w:rFonts w:ascii="Times New Roman" w:eastAsia="Times New Roman" w:hAnsi="Times New Roman" w:cs="Times New Roman"/>
          <w:kern w:val="0"/>
          <w14:ligatures w14:val="none"/>
        </w:rPr>
        <w:t xml:space="preserve"> as </w:t>
      </w:r>
      <w:r w:rsidRPr="00035D5B">
        <w:rPr>
          <w:rFonts w:ascii="Times New Roman" w:eastAsia="Times New Roman" w:hAnsi="Times New Roman" w:cs="Times New Roman"/>
          <w:kern w:val="0"/>
          <w14:ligatures w14:val="none"/>
        </w:rPr>
        <w:t>Carey, Post, and Sharpe show that private lending markets are characterized by specialization across lender types and that finance companies tend to serve observably riskier borrowers than banks, suggesting that private-debt valuation often depends on lender expertise rather than easily observable public information (Carey, Post, and Sharpe, 1998). More recently, Jang, Kim, and Sufi show that direct lenders serve a distinct borrower segment, including younger firms, firms in intangible-capital industries, and firms connected to private equity sponsors, which reinforces the idea that direct-lending assets involve borrower characteristics that may be difficult for outside investors to evaluate in real time (Jang, Kim, and Sufi, 2025). For BDCs, this means NAV can be informative, but it may not fully remove uncertainty about the current value of the underlying portfolio.</w:t>
      </w:r>
    </w:p>
    <w:p w14:paraId="69108A10" w14:textId="77777777" w:rsidR="00035D5B" w:rsidRPr="00035D5B" w:rsidRDefault="00035D5B" w:rsidP="001F68CA">
      <w:pPr>
        <w:spacing w:before="100" w:beforeAutospacing="1" w:after="100" w:afterAutospacing="1" w:line="360" w:lineRule="auto"/>
        <w:ind w:firstLine="720"/>
        <w:rPr>
          <w:rFonts w:ascii="Times New Roman" w:eastAsia="Times New Roman" w:hAnsi="Times New Roman" w:cs="Times New Roman"/>
          <w:kern w:val="0"/>
          <w14:ligatures w14:val="none"/>
        </w:rPr>
      </w:pPr>
      <w:r w:rsidRPr="00035D5B">
        <w:rPr>
          <w:rFonts w:ascii="Times New Roman" w:eastAsia="Times New Roman" w:hAnsi="Times New Roman" w:cs="Times New Roman"/>
          <w:kern w:val="0"/>
          <w14:ligatures w14:val="none"/>
        </w:rPr>
        <w:t xml:space="preserve">This issue becomes more important once the timing of NAV reporting is considered. BDC shares trade continuously in public markets, but NAV is updated only periodically. As a result, investors do not observe a fully current measure of portfolio value at every point in time. Instead, the relevant information available to investors is the most recently reported NAV. For this reason, this study focuses on lagged NAV returns as the last observable fundamental signal available to the market. This keeps the original idea that NAV reflects asset-side fundamentals, while recognizing that NAV may be stale when market prices are formed. This distinction is also consistent with Suhonen, who shows that BDC performance differs depending on whether it is measured using market values or NAV values, suggesting that public-market pricing and reported NAV-based performance are related but not identical (Suhonen, 2024). </w:t>
      </w:r>
    </w:p>
    <w:p w14:paraId="600A1CB8" w14:textId="4537CA01" w:rsidR="00035D5B" w:rsidRPr="00035D5B" w:rsidRDefault="00035D5B" w:rsidP="001F68CA">
      <w:pPr>
        <w:spacing w:before="100" w:beforeAutospacing="1" w:after="100" w:afterAutospacing="1" w:line="360" w:lineRule="auto"/>
        <w:ind w:firstLine="720"/>
        <w:rPr>
          <w:rFonts w:ascii="Times New Roman" w:eastAsia="Times New Roman" w:hAnsi="Times New Roman" w:cs="Times New Roman"/>
          <w:kern w:val="0"/>
          <w14:ligatures w14:val="none"/>
        </w:rPr>
      </w:pPr>
      <w:r w:rsidRPr="00035D5B">
        <w:rPr>
          <w:rFonts w:ascii="Times New Roman" w:eastAsia="Times New Roman" w:hAnsi="Times New Roman" w:cs="Times New Roman"/>
          <w:kern w:val="0"/>
          <w14:ligatures w14:val="none"/>
        </w:rPr>
        <w:t xml:space="preserve">Based on this, changes in interest rates may weaken the extent to which market prices reflect the fundamentals captured by NAV. When interest rates rise, the discount rate used in asset valuation increases, leading to a decline in the present value of future cash flows. At the same time, rising interest rates are often associated with greater uncertainty and higher required </w:t>
      </w:r>
      <w:r w:rsidRPr="00035D5B">
        <w:rPr>
          <w:rFonts w:ascii="Times New Roman" w:eastAsia="Times New Roman" w:hAnsi="Times New Roman" w:cs="Times New Roman"/>
          <w:kern w:val="0"/>
          <w14:ligatures w14:val="none"/>
        </w:rPr>
        <w:lastRenderedPageBreak/>
        <w:t>risk compensation, causing asset pricing to rely more heavily on discount rates, funding costs, and risk premia, while relatively reducing the role of lagged NAV-based fundamentals. This mechanism is particularly relevant for BDCs because their portfolios are composed of credit assets and their performance is affected by both asset-side yields and liability-side financing conditions. Park directly motivates this channel by examining the interest-rate sensitivity of BDC stock returns and emphasizing that BDCs’ unique asset-liability structure and high dividend payouts make rate movements especially relevant for valuation (Park, 2013). Based on this reasoning, we propose the following hypothesis:</w:t>
      </w:r>
    </w:p>
    <w:p w14:paraId="767111D2" w14:textId="77777777" w:rsidR="001D100F" w:rsidRPr="001F68CA" w:rsidRDefault="00035D5B" w:rsidP="001F68CA">
      <w:pPr>
        <w:spacing w:before="100" w:beforeAutospacing="1" w:after="100" w:afterAutospacing="1" w:line="360" w:lineRule="auto"/>
        <w:rPr>
          <w:rFonts w:ascii="Times New Roman" w:eastAsia="Times New Roman" w:hAnsi="Times New Roman" w:cs="Times New Roman"/>
          <w:i/>
          <w:iCs/>
          <w:kern w:val="0"/>
          <w14:ligatures w14:val="none"/>
        </w:rPr>
      </w:pPr>
      <w:r w:rsidRPr="00035D5B">
        <w:rPr>
          <w:rFonts w:ascii="Times New Roman" w:eastAsia="Times New Roman" w:hAnsi="Times New Roman" w:cs="Times New Roman"/>
          <w:i/>
          <w:iCs/>
          <w:kern w:val="0"/>
          <w14:ligatures w14:val="none"/>
        </w:rPr>
        <w:t>H1: As interest rates increase, the sensitivity of BDC market returns to lagged NAV returns decreases.</w:t>
      </w:r>
    </w:p>
    <w:p w14:paraId="48DEF660" w14:textId="02D31248" w:rsidR="00035D5B" w:rsidRPr="001F68CA" w:rsidRDefault="00035D5B" w:rsidP="001F68CA">
      <w:pPr>
        <w:spacing w:before="100" w:beforeAutospacing="1" w:after="100" w:afterAutospacing="1" w:line="360" w:lineRule="auto"/>
        <w:ind w:firstLine="720"/>
        <w:rPr>
          <w:rFonts w:ascii="Times New Roman" w:eastAsia="Times New Roman" w:hAnsi="Times New Roman" w:cs="Times New Roman"/>
          <w:i/>
          <w:iCs/>
          <w:kern w:val="0"/>
          <w14:ligatures w14:val="none"/>
        </w:rPr>
      </w:pPr>
      <w:r w:rsidRPr="00035D5B">
        <w:rPr>
          <w:rFonts w:ascii="Times New Roman" w:eastAsia="Times New Roman" w:hAnsi="Times New Roman" w:cs="Times New Roman"/>
          <w:kern w:val="0"/>
          <w14:ligatures w14:val="none"/>
        </w:rPr>
        <w:t>In addition to interest rates, credit spreads may also weaken the relationship between lagged NAV returns and BDC market returns. Since BDCs primarily invest in private debt, their valuations are closely connected to credit-market conditions and borrower risk. When credit spreads widen, investors may become more concerned about default risk, borrower quality, and the compensation required for holding risky credit assets. In this environment, market pricing may rely less on the last reported NAV and more on current credit-risk conditions. Therefore, even if lagged NAV contains useful information about the underlying portfolio, its explanatory power may decline when credit spreads increase.</w:t>
      </w:r>
      <w:r w:rsidRPr="001F68CA">
        <w:rPr>
          <w:rFonts w:ascii="Times New Roman" w:eastAsia="Times New Roman" w:hAnsi="Times New Roman" w:cs="Times New Roman"/>
          <w:kern w:val="0"/>
          <w14:ligatures w14:val="none"/>
        </w:rPr>
        <w:t xml:space="preserve"> </w:t>
      </w:r>
    </w:p>
    <w:p w14:paraId="0A0BA2F8" w14:textId="156BEAED" w:rsidR="00035D5B" w:rsidRPr="00035D5B" w:rsidRDefault="00035D5B" w:rsidP="001F68CA">
      <w:pPr>
        <w:spacing w:before="100" w:beforeAutospacing="1" w:after="100" w:afterAutospacing="1" w:line="360" w:lineRule="auto"/>
        <w:ind w:firstLine="720"/>
        <w:rPr>
          <w:rFonts w:ascii="Times New Roman" w:eastAsia="Times New Roman" w:hAnsi="Times New Roman" w:cs="Times New Roman"/>
          <w:kern w:val="0"/>
          <w14:ligatures w14:val="none"/>
        </w:rPr>
      </w:pPr>
      <w:r w:rsidRPr="00035D5B">
        <w:rPr>
          <w:rFonts w:ascii="Times New Roman" w:eastAsia="Times New Roman" w:hAnsi="Times New Roman" w:cs="Times New Roman"/>
          <w:kern w:val="0"/>
          <w14:ligatures w14:val="none"/>
        </w:rPr>
        <w:t>The literature on credit supply and market discipline supports this mechanism</w:t>
      </w:r>
      <w:r w:rsidRPr="001F68CA">
        <w:rPr>
          <w:rFonts w:ascii="Times New Roman" w:eastAsia="Times New Roman" w:hAnsi="Times New Roman" w:cs="Times New Roman"/>
          <w:kern w:val="0"/>
          <w14:ligatures w14:val="none"/>
        </w:rPr>
        <w:t xml:space="preserve"> </w:t>
      </w:r>
      <w:r w:rsidR="000479AB" w:rsidRPr="001F68CA">
        <w:rPr>
          <w:rFonts w:ascii="Times New Roman" w:eastAsia="Times New Roman" w:hAnsi="Times New Roman" w:cs="Times New Roman"/>
          <w:kern w:val="0"/>
          <w14:ligatures w14:val="none"/>
        </w:rPr>
        <w:t>as</w:t>
      </w:r>
      <w:r w:rsidRPr="00035D5B">
        <w:rPr>
          <w:rFonts w:ascii="Times New Roman" w:eastAsia="Times New Roman" w:hAnsi="Times New Roman" w:cs="Times New Roman"/>
          <w:kern w:val="0"/>
          <w14:ligatures w14:val="none"/>
        </w:rPr>
        <w:t xml:space="preserve"> Acharya, Berger, and Roman find that stress-tested banks reduce credit supply, particularly to relatively risky borrowers, which is consistent with a risk-management response when credit conditions and regulatory pressures make risk more costly (Acharya, Berger, and Roman, 2018). Davydiuk, Marchuk, and Rosen show that BDCs respond to funding shocks by reducing portfolio risk and shifting toward safer investments, suggesting that BDCs’ investment behavior and valuation are sensitive to capital-market discipline and risk conditions (Davydiuk, Marchuk, and Rosen, 2024). These findings imply that credit-spread changes should not be treated as a simple control variable. They represent a risk-premium channel that may change how much market prices rely on stale NAV information.</w:t>
      </w:r>
      <w:r w:rsidR="000479AB" w:rsidRPr="001F68CA">
        <w:rPr>
          <w:rFonts w:ascii="Times New Roman" w:eastAsia="Times New Roman" w:hAnsi="Times New Roman" w:cs="Times New Roman"/>
          <w:kern w:val="0"/>
          <w14:ligatures w14:val="none"/>
        </w:rPr>
        <w:t xml:space="preserve"> </w:t>
      </w:r>
      <w:r w:rsidRPr="00035D5B">
        <w:rPr>
          <w:rFonts w:ascii="Times New Roman" w:eastAsia="Times New Roman" w:hAnsi="Times New Roman" w:cs="Times New Roman"/>
          <w:kern w:val="0"/>
          <w14:ligatures w14:val="none"/>
        </w:rPr>
        <w:t>Based on this reasoning, we propose the following hypothesis:</w:t>
      </w:r>
    </w:p>
    <w:p w14:paraId="7B77A954" w14:textId="77777777" w:rsidR="00035D5B" w:rsidRPr="00035D5B" w:rsidRDefault="00035D5B" w:rsidP="001F68CA">
      <w:pPr>
        <w:spacing w:before="100" w:beforeAutospacing="1" w:after="100" w:afterAutospacing="1" w:line="360" w:lineRule="auto"/>
        <w:rPr>
          <w:rFonts w:ascii="Times New Roman" w:eastAsia="Times New Roman" w:hAnsi="Times New Roman" w:cs="Times New Roman"/>
          <w:i/>
          <w:iCs/>
          <w:kern w:val="0"/>
          <w14:ligatures w14:val="none"/>
        </w:rPr>
      </w:pPr>
      <w:r w:rsidRPr="00035D5B">
        <w:rPr>
          <w:rFonts w:ascii="Times New Roman" w:eastAsia="Times New Roman" w:hAnsi="Times New Roman" w:cs="Times New Roman"/>
          <w:i/>
          <w:iCs/>
          <w:kern w:val="0"/>
          <w14:ligatures w14:val="none"/>
        </w:rPr>
        <w:lastRenderedPageBreak/>
        <w:t>H2: As credit spreads widen, the sensitivity of BDC market returns to lagged NAV returns decreases.</w:t>
      </w:r>
    </w:p>
    <w:p w14:paraId="38A80649" w14:textId="77777777" w:rsidR="00035D5B" w:rsidRPr="00035D5B" w:rsidRDefault="00035D5B" w:rsidP="001F68CA">
      <w:pPr>
        <w:spacing w:before="100" w:beforeAutospacing="1" w:after="100" w:afterAutospacing="1" w:line="360" w:lineRule="auto"/>
        <w:ind w:firstLine="720"/>
        <w:rPr>
          <w:rFonts w:ascii="Times New Roman" w:eastAsia="Times New Roman" w:hAnsi="Times New Roman" w:cs="Times New Roman"/>
          <w:kern w:val="0"/>
          <w14:ligatures w14:val="none"/>
        </w:rPr>
      </w:pPr>
      <w:r w:rsidRPr="00035D5B">
        <w:rPr>
          <w:rFonts w:ascii="Times New Roman" w:eastAsia="Times New Roman" w:hAnsi="Times New Roman" w:cs="Times New Roman"/>
          <w:kern w:val="0"/>
          <w14:ligatures w14:val="none"/>
        </w:rPr>
        <w:t>Furthermore, this effect may not be uniform across all BDCs. In the original framework, this cross-sectional channel was described as asset opacity. In the revised framework, we use the term valuation uncertainty because it better captures the concern that NAV may be less timely or less informative for some BDCs than for others. For BDCs holding private, illiquid, or difficult-to-value investments, investors’ willingness to rely on NAV depends not only on the reported value of the underlying assets, but also on whether that NAV is viewed as a credible and useful signal of current portfolio value.</w:t>
      </w:r>
    </w:p>
    <w:p w14:paraId="2105E148" w14:textId="4D0F9234" w:rsidR="00035D5B" w:rsidRPr="00035D5B" w:rsidRDefault="00035D5B" w:rsidP="001F68CA">
      <w:pPr>
        <w:spacing w:before="100" w:beforeAutospacing="1" w:after="100" w:afterAutospacing="1" w:line="360" w:lineRule="auto"/>
        <w:ind w:firstLine="720"/>
        <w:rPr>
          <w:rFonts w:ascii="Times New Roman" w:eastAsia="Times New Roman" w:hAnsi="Times New Roman" w:cs="Times New Roman"/>
          <w:kern w:val="0"/>
          <w14:ligatures w14:val="none"/>
        </w:rPr>
      </w:pPr>
      <w:r w:rsidRPr="00035D5B">
        <w:rPr>
          <w:rFonts w:ascii="Times New Roman" w:eastAsia="Times New Roman" w:hAnsi="Times New Roman" w:cs="Times New Roman"/>
          <w:kern w:val="0"/>
          <w14:ligatures w14:val="none"/>
        </w:rPr>
        <w:t xml:space="preserve">The </w:t>
      </w:r>
      <w:r w:rsidR="001F68CA">
        <w:rPr>
          <w:rFonts w:ascii="Times New Roman" w:eastAsia="Times New Roman" w:hAnsi="Times New Roman" w:cs="Times New Roman"/>
          <w:kern w:val="0"/>
          <w14:ligatures w14:val="none"/>
        </w:rPr>
        <w:t>valuation uncertainty</w:t>
      </w:r>
      <w:r w:rsidRPr="00035D5B">
        <w:rPr>
          <w:rFonts w:ascii="Times New Roman" w:eastAsia="Times New Roman" w:hAnsi="Times New Roman" w:cs="Times New Roman"/>
          <w:kern w:val="0"/>
          <w14:ligatures w14:val="none"/>
        </w:rPr>
        <w:t xml:space="preserve"> argument follows from the fact that private-credit assets depend on non-public borrower information, specialized monitoring, and judgment-based valuation. Davydiuk, Erel, Jiang, and Marchuk show that BDCs often occupy complex positions in the capital structure by holding both debt and equity in the same portfolio firms, and that this dual-holder structure is related to monitoring and loan pricing (Davydiuk, Erel, Jiang, and Marchuk, 2025). Patidar’s evidence on specialization in nonbank lending also suggests that BDCs differ in the industries and loan types they emphasize, and that specialization can affect loan performance and terms. These differences imply that the informational content of NAV may vary across BDCs depending on how easy or difficult their portfolios are to evaluate from the outside.</w:t>
      </w:r>
    </w:p>
    <w:p w14:paraId="17CD12C9" w14:textId="3B865D73" w:rsidR="00035D5B" w:rsidRPr="00035D5B" w:rsidRDefault="00035D5B" w:rsidP="001F68CA">
      <w:pPr>
        <w:spacing w:before="100" w:beforeAutospacing="1" w:after="100" w:afterAutospacing="1" w:line="360" w:lineRule="auto"/>
        <w:ind w:firstLine="720"/>
        <w:rPr>
          <w:rFonts w:ascii="Times New Roman" w:eastAsia="Times New Roman" w:hAnsi="Times New Roman" w:cs="Times New Roman"/>
          <w:kern w:val="0"/>
          <w14:ligatures w14:val="none"/>
        </w:rPr>
      </w:pPr>
      <w:r w:rsidRPr="00035D5B">
        <w:rPr>
          <w:rFonts w:ascii="Times New Roman" w:eastAsia="Times New Roman" w:hAnsi="Times New Roman" w:cs="Times New Roman"/>
          <w:kern w:val="0"/>
          <w14:ligatures w14:val="none"/>
        </w:rPr>
        <w:t xml:space="preserve">For BDCs with greater valuation uncertainty, the underlying investments may rely more heavily on non-public information and judgment-based valuation. This makes it difficult for external investors to directly observe the true risk profile of the portfolio. When interest rates rise or credit spreads widen, investors may find it even harder to assess whether the most recently reported NAV fully reflects current discount rates, borrower risk, and credit conditions. As a result, compared to BDCs with lower valuation uncertainty, these firms are more likely to experience a weaker link between market prices and lagged NAV fundamentals. This is also consistent with </w:t>
      </w:r>
      <w:proofErr w:type="spellStart"/>
      <w:r w:rsidRPr="00035D5B">
        <w:rPr>
          <w:rFonts w:ascii="Times New Roman" w:eastAsia="Times New Roman" w:hAnsi="Times New Roman" w:cs="Times New Roman"/>
          <w:kern w:val="0"/>
          <w14:ligatures w14:val="none"/>
        </w:rPr>
        <w:t>Fenaroli’s</w:t>
      </w:r>
      <w:proofErr w:type="spellEnd"/>
      <w:r w:rsidRPr="00035D5B">
        <w:rPr>
          <w:rFonts w:ascii="Times New Roman" w:eastAsia="Times New Roman" w:hAnsi="Times New Roman" w:cs="Times New Roman"/>
          <w:kern w:val="0"/>
          <w14:ligatures w14:val="none"/>
        </w:rPr>
        <w:t xml:space="preserve"> evidence that BDCs, like closed-end funds, can trade at discounts or premiums to NAV, which highlights that reported NAV and market valuation may diverge when </w:t>
      </w:r>
      <w:r w:rsidRPr="00035D5B">
        <w:rPr>
          <w:rFonts w:ascii="Times New Roman" w:eastAsia="Times New Roman" w:hAnsi="Times New Roman" w:cs="Times New Roman"/>
          <w:kern w:val="0"/>
          <w14:ligatures w14:val="none"/>
        </w:rPr>
        <w:lastRenderedPageBreak/>
        <w:t>investors interpret portfolio value through sentiment, uncertainty, or other market-pricing forces (</w:t>
      </w:r>
      <w:proofErr w:type="spellStart"/>
      <w:r w:rsidRPr="00035D5B">
        <w:rPr>
          <w:rFonts w:ascii="Times New Roman" w:eastAsia="Times New Roman" w:hAnsi="Times New Roman" w:cs="Times New Roman"/>
          <w:kern w:val="0"/>
          <w14:ligatures w14:val="none"/>
        </w:rPr>
        <w:t>Fenaroli</w:t>
      </w:r>
      <w:proofErr w:type="spellEnd"/>
      <w:r w:rsidRPr="00035D5B">
        <w:rPr>
          <w:rFonts w:ascii="Times New Roman" w:eastAsia="Times New Roman" w:hAnsi="Times New Roman" w:cs="Times New Roman"/>
          <w:kern w:val="0"/>
          <w14:ligatures w14:val="none"/>
        </w:rPr>
        <w:t>, 2019). Based on this reasoning, we propose the following hypothesis:</w:t>
      </w:r>
    </w:p>
    <w:p w14:paraId="1E7FF461" w14:textId="77777777" w:rsidR="000479AB" w:rsidRPr="001F68CA" w:rsidRDefault="00035D5B" w:rsidP="001F68CA">
      <w:pPr>
        <w:spacing w:before="100" w:beforeAutospacing="1" w:after="100" w:afterAutospacing="1" w:line="360" w:lineRule="auto"/>
        <w:rPr>
          <w:rFonts w:ascii="Times New Roman" w:eastAsia="Times New Roman" w:hAnsi="Times New Roman" w:cs="Times New Roman"/>
          <w:i/>
          <w:iCs/>
          <w:kern w:val="0"/>
          <w14:ligatures w14:val="none"/>
        </w:rPr>
      </w:pPr>
      <w:r w:rsidRPr="00035D5B">
        <w:rPr>
          <w:rFonts w:ascii="Times New Roman" w:eastAsia="Times New Roman" w:hAnsi="Times New Roman" w:cs="Times New Roman"/>
          <w:i/>
          <w:iCs/>
          <w:kern w:val="0"/>
          <w14:ligatures w14:val="none"/>
        </w:rPr>
        <w:t>H3: For BDCs with greater valuation uncertainty, the weakening effect of interest-rate and credit-spread changes on the relationship between lagged NAV returns and market returns is stronger.</w:t>
      </w:r>
    </w:p>
    <w:p w14:paraId="0DC1C4DE" w14:textId="4D450131" w:rsidR="00EE0975" w:rsidRPr="00EE0975" w:rsidRDefault="000479AB" w:rsidP="001F68CA">
      <w:pPr>
        <w:spacing w:before="100" w:beforeAutospacing="1" w:after="100" w:afterAutospacing="1" w:line="360" w:lineRule="auto"/>
        <w:ind w:firstLine="720"/>
        <w:rPr>
          <w:rFonts w:ascii="Times New Roman" w:eastAsia="Times New Roman" w:hAnsi="Times New Roman" w:cs="Times New Roman"/>
          <w:i/>
          <w:iCs/>
          <w:kern w:val="0"/>
          <w14:ligatures w14:val="none"/>
        </w:rPr>
      </w:pPr>
      <w:r w:rsidRPr="001F68CA">
        <w:rPr>
          <w:rFonts w:ascii="Times New Roman" w:eastAsia="Times New Roman" w:hAnsi="Times New Roman" w:cs="Times New Roman"/>
          <w:kern w:val="0"/>
          <w14:ligatures w14:val="none"/>
        </w:rPr>
        <w:t>Overall</w:t>
      </w:r>
      <w:r w:rsidR="00035D5B" w:rsidRPr="00035D5B">
        <w:rPr>
          <w:rFonts w:ascii="Times New Roman" w:eastAsia="Times New Roman" w:hAnsi="Times New Roman" w:cs="Times New Roman"/>
          <w:kern w:val="0"/>
          <w14:ligatures w14:val="none"/>
        </w:rPr>
        <w:t>, these hypotheses preserve the original logic of the paper. NAV should matter because it reflects the reported performance of the BDC’s underlying assets. However, because BDC assets are private, less liquid, and difficult to value continuously, market prices may not always track NAV with the same strength. Rising interest rates shift valuation toward discount rates and funding costs. Widening credit spreads shift valuation toward credit risk and required compensation. Greater valuation uncertainty should make both effects stronger because investors have less reason to treat lagged NAV as a complete measure of current portfolio value.</w:t>
      </w:r>
    </w:p>
    <w:p w14:paraId="7060ABDC" w14:textId="4F7A26AA" w:rsidR="00EE0975" w:rsidRPr="001F68CA" w:rsidRDefault="001D100F" w:rsidP="001F68CA">
      <w:pPr>
        <w:spacing w:line="360" w:lineRule="auto"/>
        <w:rPr>
          <w:rFonts w:ascii="Times New Roman" w:hAnsi="Times New Roman" w:cs="Times New Roman"/>
          <w:b/>
          <w:bCs/>
          <w:sz w:val="28"/>
          <w:szCs w:val="28"/>
        </w:rPr>
      </w:pPr>
      <w:r w:rsidRPr="001F68CA">
        <w:rPr>
          <w:rFonts w:ascii="Times New Roman" w:hAnsi="Times New Roman" w:cs="Times New Roman"/>
          <w:b/>
          <w:bCs/>
          <w:sz w:val="28"/>
          <w:szCs w:val="28"/>
        </w:rPr>
        <w:t>Data and Methodology</w:t>
      </w:r>
    </w:p>
    <w:p w14:paraId="0E5BB09C" w14:textId="7BB987AA" w:rsidR="001D100F" w:rsidRPr="001D100F" w:rsidRDefault="001D100F" w:rsidP="001F68CA">
      <w:pPr>
        <w:spacing w:line="360" w:lineRule="auto"/>
        <w:ind w:firstLine="720"/>
        <w:rPr>
          <w:rFonts w:ascii="Times New Roman" w:hAnsi="Times New Roman" w:cs="Times New Roman"/>
        </w:rPr>
      </w:pPr>
      <w:r w:rsidRPr="001D100F">
        <w:rPr>
          <w:rFonts w:ascii="Times New Roman" w:hAnsi="Times New Roman" w:cs="Times New Roman"/>
        </w:rPr>
        <w:t>The hypotheses developed above imply that BDC valuation should be studied through the relationship between market returns, NAV-based fundamentals, and the macro-financial conditions under which investors interpret those fundamentals. Since BDCs hold private-credit assets but trade in public markets, the empirical design must account for the fact that market prices are observed continuously while NAV is reported only periodically. The data and research design therefore center on a timing probl</w:t>
      </w:r>
      <w:r w:rsidRPr="001F68CA">
        <w:rPr>
          <w:rFonts w:ascii="Times New Roman" w:hAnsi="Times New Roman" w:cs="Times New Roman"/>
        </w:rPr>
        <w:t>em, which is that</w:t>
      </w:r>
      <w:r w:rsidRPr="001D100F">
        <w:rPr>
          <w:rFonts w:ascii="Times New Roman" w:hAnsi="Times New Roman" w:cs="Times New Roman"/>
        </w:rPr>
        <w:t xml:space="preserve"> investors can trade BDC shares every day, but the portfolio-value signal contained in NAV arrives with delay. This makes lagged NAV return the relevant fundamental signal, while interest-rate changes and credit-spread changes capture the valuation environment in which that signal is interpreted.</w:t>
      </w:r>
    </w:p>
    <w:p w14:paraId="6E931587" w14:textId="77777777" w:rsidR="001D100F" w:rsidRPr="001D100F" w:rsidRDefault="001D100F" w:rsidP="001F68CA">
      <w:pPr>
        <w:spacing w:line="360" w:lineRule="auto"/>
        <w:rPr>
          <w:rFonts w:ascii="Times New Roman" w:hAnsi="Times New Roman" w:cs="Times New Roman"/>
          <w:u w:val="single"/>
        </w:rPr>
      </w:pPr>
      <w:r w:rsidRPr="001D100F">
        <w:rPr>
          <w:rFonts w:ascii="Times New Roman" w:hAnsi="Times New Roman" w:cs="Times New Roman"/>
          <w:u w:val="single"/>
        </w:rPr>
        <w:t>Data Description</w:t>
      </w:r>
    </w:p>
    <w:p w14:paraId="777CD37E" w14:textId="236486BB" w:rsidR="001D100F" w:rsidRPr="001D100F" w:rsidRDefault="001D100F" w:rsidP="001F68CA">
      <w:pPr>
        <w:spacing w:line="360" w:lineRule="auto"/>
        <w:ind w:firstLine="720"/>
        <w:rPr>
          <w:rFonts w:ascii="Times New Roman" w:hAnsi="Times New Roman" w:cs="Times New Roman"/>
        </w:rPr>
      </w:pPr>
      <w:r w:rsidRPr="001D100F">
        <w:rPr>
          <w:rFonts w:ascii="Times New Roman" w:hAnsi="Times New Roman" w:cs="Times New Roman"/>
        </w:rPr>
        <w:t xml:space="preserve">The empirical setting is a panel of publicly traded Business Development Companies observed primarily at the monthly level. BDCs </w:t>
      </w:r>
      <w:r w:rsidRPr="001F68CA">
        <w:rPr>
          <w:rFonts w:ascii="Times New Roman" w:hAnsi="Times New Roman" w:cs="Times New Roman"/>
        </w:rPr>
        <w:t xml:space="preserve">allows to the connect the study via </w:t>
      </w:r>
      <w:r w:rsidRPr="001D100F">
        <w:rPr>
          <w:rFonts w:ascii="Times New Roman" w:hAnsi="Times New Roman" w:cs="Times New Roman"/>
        </w:rPr>
        <w:t xml:space="preserve">the public market value of a traded security and the reported NAV of an underlying private-credit portfolio. Their shares are priced continuously in public markets, while the value of their investment portfolios is reported periodically through NAV. This structure allows the analysis to examine </w:t>
      </w:r>
      <w:r w:rsidRPr="001D100F">
        <w:rPr>
          <w:rFonts w:ascii="Times New Roman" w:hAnsi="Times New Roman" w:cs="Times New Roman"/>
        </w:rPr>
        <w:lastRenderedPageBreak/>
        <w:t>whether public market returns remain connected to NAV-based fundamentals, and whether that connection changes when broader valuation conditions shift.</w:t>
      </w:r>
      <w:r w:rsidRPr="001F68CA">
        <w:rPr>
          <w:rFonts w:ascii="Times New Roman" w:hAnsi="Times New Roman" w:cs="Times New Roman"/>
        </w:rPr>
        <w:t xml:space="preserve"> </w:t>
      </w:r>
      <w:r w:rsidRPr="001D100F">
        <w:rPr>
          <w:rFonts w:ascii="Times New Roman" w:hAnsi="Times New Roman" w:cs="Times New Roman"/>
        </w:rPr>
        <w:t xml:space="preserve">The main sample will include publicly traded BDCs with available market return data, NAV per share data, and sufficient firm-level financial information to construct controls. The current working sample includes MAIN and ARCC from January 2016 through December 2025, with daily return data and quarterly NAV data. The full study will expand the sample to include all publicly traded BDCs with available data over the study period. This broader sample is important because BDCs differ meaningfully in portfolio structure, leverage, performance, and risk exposure, and those differences are part of the theoretical reason valuation uncertainty may vary across firms (Suhonen, 2024; Kuan, 2025). </w:t>
      </w:r>
    </w:p>
    <w:p w14:paraId="0ACA6F21" w14:textId="30BA0114" w:rsidR="001D100F" w:rsidRPr="001D100F" w:rsidRDefault="001D100F" w:rsidP="001F68CA">
      <w:pPr>
        <w:spacing w:line="360" w:lineRule="auto"/>
        <w:ind w:firstLine="720"/>
        <w:rPr>
          <w:rFonts w:ascii="Times New Roman" w:hAnsi="Times New Roman" w:cs="Times New Roman"/>
        </w:rPr>
      </w:pPr>
      <w:r w:rsidRPr="001D100F">
        <w:rPr>
          <w:rFonts w:ascii="Times New Roman" w:hAnsi="Times New Roman" w:cs="Times New Roman"/>
        </w:rPr>
        <w:t>Market return data will be collected from CRSP</w:t>
      </w:r>
      <w:r w:rsidRPr="001F68CA">
        <w:rPr>
          <w:rFonts w:ascii="Times New Roman" w:hAnsi="Times New Roman" w:cs="Times New Roman"/>
        </w:rPr>
        <w:t xml:space="preserve">, </w:t>
      </w:r>
      <w:r w:rsidRPr="001D100F">
        <w:rPr>
          <w:rFonts w:ascii="Times New Roman" w:hAnsi="Times New Roman" w:cs="Times New Roman"/>
        </w:rPr>
        <w:t xml:space="preserve"> </w:t>
      </w:r>
      <w:r w:rsidRPr="001F68CA">
        <w:rPr>
          <w:rFonts w:ascii="Times New Roman" w:hAnsi="Times New Roman" w:cs="Times New Roman"/>
        </w:rPr>
        <w:t>m</w:t>
      </w:r>
      <w:r w:rsidRPr="001D100F">
        <w:rPr>
          <w:rFonts w:ascii="Times New Roman" w:hAnsi="Times New Roman" w:cs="Times New Roman"/>
        </w:rPr>
        <w:t xml:space="preserve">onthly BDC returns will be used for the main panel analysis, while daily CRSP returns will be used for the NAV announcement event study. Quarterly NAV per share will be collected from </w:t>
      </w:r>
      <w:proofErr w:type="spellStart"/>
      <w:r w:rsidRPr="001D100F">
        <w:rPr>
          <w:rFonts w:ascii="Times New Roman" w:hAnsi="Times New Roman" w:cs="Times New Roman"/>
        </w:rPr>
        <w:t>Compustat</w:t>
      </w:r>
      <w:proofErr w:type="spellEnd"/>
      <w:r w:rsidRPr="001D100F">
        <w:rPr>
          <w:rFonts w:ascii="Times New Roman" w:hAnsi="Times New Roman" w:cs="Times New Roman"/>
        </w:rPr>
        <w:t xml:space="preserve"> and matched to each BDC’s return data. Because NAV is reported quarterly while market returns are observed more frequently, the NAV series will be aligned with monthly market returns by using the most recently available NAV return as the relevant valuation signal. Interest-rate and credit-spread data will be collected from the Federal Reserve Board data available through WRDS. The change in the 10-year Treasury yield will capture the discount-rate channel, while changes in credit spreads will capture the credit-risk or risk-premium channel.</w:t>
      </w:r>
    </w:p>
    <w:p w14:paraId="1315FD43" w14:textId="77777777" w:rsidR="001D100F" w:rsidRPr="001D100F" w:rsidRDefault="001D100F" w:rsidP="001F68CA">
      <w:pPr>
        <w:spacing w:line="360" w:lineRule="auto"/>
        <w:ind w:firstLine="720"/>
        <w:rPr>
          <w:rFonts w:ascii="Times New Roman" w:hAnsi="Times New Roman" w:cs="Times New Roman"/>
        </w:rPr>
      </w:pPr>
      <w:r w:rsidRPr="001D100F">
        <w:rPr>
          <w:rFonts w:ascii="Times New Roman" w:hAnsi="Times New Roman" w:cs="Times New Roman"/>
        </w:rPr>
        <w:t xml:space="preserve">Firm-level controls will be collected from </w:t>
      </w:r>
      <w:proofErr w:type="spellStart"/>
      <w:r w:rsidRPr="001D100F">
        <w:rPr>
          <w:rFonts w:ascii="Times New Roman" w:hAnsi="Times New Roman" w:cs="Times New Roman"/>
        </w:rPr>
        <w:t>Compustat</w:t>
      </w:r>
      <w:proofErr w:type="spellEnd"/>
      <w:r w:rsidRPr="001D100F">
        <w:rPr>
          <w:rFonts w:ascii="Times New Roman" w:hAnsi="Times New Roman" w:cs="Times New Roman"/>
        </w:rPr>
        <w:t xml:space="preserve">, CRSP, and BDC financial filings where available. These controls may include BDC size, leverage, dividend yield, prior market return, trading volume, premium or discount to NAV, and portfolio composition measures. These variables are important because BDCs are not homogeneous investment vehicles. Their regulatory structure gives them meaningful flexibility in leverage and investment activity, and prior evidence shows that BDCs adjust portfolio risk when they face funding and market-discipline pressures (Warburton, 2020; Davydiuk, Marchuk, and Rosen, 2024). </w:t>
      </w:r>
    </w:p>
    <w:p w14:paraId="4DA1B6A0" w14:textId="77777777" w:rsidR="001D100F" w:rsidRPr="001D100F" w:rsidRDefault="001D100F" w:rsidP="001F68CA">
      <w:pPr>
        <w:spacing w:line="360" w:lineRule="auto"/>
        <w:rPr>
          <w:rFonts w:ascii="Times New Roman" w:hAnsi="Times New Roman" w:cs="Times New Roman"/>
          <w:u w:val="single"/>
        </w:rPr>
      </w:pPr>
      <w:r w:rsidRPr="001D100F">
        <w:rPr>
          <w:rFonts w:ascii="Times New Roman" w:hAnsi="Times New Roman" w:cs="Times New Roman"/>
          <w:u w:val="single"/>
        </w:rPr>
        <w:t>Variable Construction</w:t>
      </w:r>
    </w:p>
    <w:p w14:paraId="4FE7F64F" w14:textId="6AC819EE" w:rsidR="001D100F" w:rsidRPr="001D100F" w:rsidRDefault="001D100F" w:rsidP="001F68CA">
      <w:pPr>
        <w:spacing w:line="360" w:lineRule="auto"/>
        <w:rPr>
          <w:rFonts w:ascii="Times New Roman" w:hAnsi="Times New Roman" w:cs="Times New Roman"/>
        </w:rPr>
      </w:pPr>
      <w:r w:rsidRPr="001D100F">
        <w:rPr>
          <w:rFonts w:ascii="Times New Roman" w:hAnsi="Times New Roman" w:cs="Times New Roman"/>
        </w:rPr>
        <w:t xml:space="preserve">The dependent variable in the main monthly analysis is the BDC market return. For BDC </w:t>
      </w:r>
      <m:oMath>
        <m:r>
          <w:rPr>
            <w:rFonts w:ascii="Cambria Math" w:hAnsi="Cambria Math" w:cs="Times New Roman"/>
          </w:rPr>
          <m:t>i</m:t>
        </m:r>
      </m:oMath>
      <w:r w:rsidRPr="001F68CA">
        <w:rPr>
          <w:rFonts w:ascii="Times New Roman" w:eastAsiaTheme="minorEastAsia" w:hAnsi="Times New Roman" w:cs="Times New Roman"/>
        </w:rPr>
        <w:t xml:space="preserve"> </w:t>
      </w:r>
      <w:r w:rsidRPr="001D100F">
        <w:rPr>
          <w:rFonts w:ascii="Times New Roman" w:hAnsi="Times New Roman" w:cs="Times New Roman"/>
        </w:rPr>
        <w:t xml:space="preserve">in month </w:t>
      </w:r>
      <m:oMath>
        <m:r>
          <w:rPr>
            <w:rFonts w:ascii="Cambria Math" w:hAnsi="Cambria Math" w:cs="Times New Roman"/>
          </w:rPr>
          <m:t>t</m:t>
        </m:r>
      </m:oMath>
      <w:r w:rsidRPr="001D100F">
        <w:rPr>
          <w:rFonts w:ascii="Times New Roman" w:hAnsi="Times New Roman" w:cs="Times New Roman"/>
        </w:rPr>
        <w:t>, market return is defined as:</w:t>
      </w:r>
    </w:p>
    <w:p w14:paraId="5C9D192F" w14:textId="17557D59" w:rsidR="001D100F" w:rsidRPr="001D100F" w:rsidRDefault="00000000" w:rsidP="001F68CA">
      <w:pPr>
        <w:spacing w:line="360" w:lineRule="auto"/>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i,t</m:t>
              </m:r>
            </m:sub>
            <m:sup>
              <m:r>
                <w:rPr>
                  <w:rFonts w:ascii="Cambria Math" w:hAnsi="Cambria Math" w:cs="Times New Roman"/>
                </w:rPr>
                <m:t>MKT</m:t>
              </m:r>
            </m:sup>
          </m:sSubSup>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i,t-1</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i,t-1</m:t>
                  </m:r>
                </m:sub>
              </m:sSub>
            </m:den>
          </m:f>
          <m:r>
            <m:rPr>
              <m:sty m:val="p"/>
            </m:rPr>
            <w:rPr>
              <w:rFonts w:ascii="Times New Roman" w:hAnsi="Times New Roman" w:cs="Times New Roman"/>
            </w:rPr>
            <w:br/>
          </m:r>
        </m:oMath>
      </m:oMathPara>
      <w:r w:rsidR="001D100F" w:rsidRPr="001D100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i,t</m:t>
            </m:r>
          </m:sub>
        </m:sSub>
      </m:oMath>
      <w:r w:rsidR="001D100F" w:rsidRPr="001F68CA">
        <w:rPr>
          <w:rFonts w:ascii="Times New Roman" w:eastAsiaTheme="minorEastAsia" w:hAnsi="Times New Roman" w:cs="Times New Roman"/>
        </w:rPr>
        <w:t xml:space="preserve"> </w:t>
      </w:r>
      <w:r w:rsidR="001D100F" w:rsidRPr="001D100F">
        <w:rPr>
          <w:rFonts w:ascii="Times New Roman" w:hAnsi="Times New Roman" w:cs="Times New Roman"/>
        </w:rPr>
        <w:t xml:space="preserve">is the BDC share price at the end of month </w:t>
      </w:r>
      <m:oMath>
        <m:r>
          <w:rPr>
            <w:rFonts w:ascii="Cambria Math" w:hAnsi="Cambria Math" w:cs="Times New Roman"/>
          </w:rPr>
          <m:t>t</m:t>
        </m:r>
      </m:oMath>
      <w:r w:rsidR="001D100F" w:rsidRPr="001D100F">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i,t</m:t>
            </m:r>
          </m:sub>
        </m:sSub>
      </m:oMath>
      <w:r w:rsidR="001D100F" w:rsidRPr="001D100F">
        <w:rPr>
          <w:rFonts w:ascii="Times New Roman" w:hAnsi="Times New Roman" w:cs="Times New Roman"/>
        </w:rPr>
        <w:t>represents dividends paid during the month. Because BDCs are high-dividend vehicles, total returns including dividends are preferred to price returns alone</w:t>
      </w:r>
      <w:r w:rsidR="001D100F" w:rsidRPr="001F68CA">
        <w:rPr>
          <w:rFonts w:ascii="Times New Roman" w:hAnsi="Times New Roman" w:cs="Times New Roman"/>
        </w:rPr>
        <w:t xml:space="preserve">. </w:t>
      </w:r>
      <w:r w:rsidR="001D100F" w:rsidRPr="001D100F">
        <w:rPr>
          <w:rFonts w:ascii="Times New Roman" w:hAnsi="Times New Roman" w:cs="Times New Roman"/>
        </w:rPr>
        <w:t>This choice is consistent with the economic setting because a meaningful portion of BDC investor returns comes through distributions rather than price appreciation alone.</w:t>
      </w:r>
      <w:r w:rsidR="001D100F" w:rsidRPr="001F68CA">
        <w:rPr>
          <w:rFonts w:ascii="Times New Roman" w:hAnsi="Times New Roman" w:cs="Times New Roman"/>
        </w:rPr>
        <w:t xml:space="preserve"> </w:t>
      </w:r>
      <w:r w:rsidR="001D100F" w:rsidRPr="001D100F">
        <w:rPr>
          <w:rFonts w:ascii="Times New Roman" w:hAnsi="Times New Roman" w:cs="Times New Roman"/>
        </w:rPr>
        <w:t>The key explanatory variable is lagged NAV return. NAV return is defined as the percentage change in NAV per share:</w:t>
      </w:r>
    </w:p>
    <w:p w14:paraId="40D5833F" w14:textId="182BC18C" w:rsidR="001D100F" w:rsidRPr="001D100F" w:rsidRDefault="00000000" w:rsidP="001F68CA">
      <w:pPr>
        <w:spacing w:line="360" w:lineRule="auto"/>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i,q</m:t>
              </m:r>
            </m:sub>
            <m:sup>
              <m:r>
                <w:rPr>
                  <w:rFonts w:ascii="Cambria Math" w:hAnsi="Cambria Math" w:cs="Times New Roman"/>
                </w:rPr>
                <m:t>NAV</m:t>
              </m:r>
            </m:sup>
          </m:sSubSup>
          <m:r>
            <w:rPr>
              <w:rFonts w:ascii="Cambria Math" w:hAnsi="Cambria Math" w:cs="Times New Roman"/>
            </w:rPr>
            <m:t>=</m:t>
          </m:r>
          <m:f>
            <m:fPr>
              <m:ctrlPr>
                <w:rPr>
                  <w:rFonts w:ascii="Cambria Math" w:hAnsi="Cambria Math" w:cs="Times New Roman"/>
                </w:rPr>
              </m:ctrlPr>
            </m:fPr>
            <m:num>
              <m:r>
                <w:rPr>
                  <w:rFonts w:ascii="Cambria Math" w:hAnsi="Cambria Math" w:cs="Times New Roman"/>
                </w:rPr>
                <m:t>NA</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i,q</m:t>
                  </m:r>
                </m:sub>
              </m:sSub>
              <m:r>
                <w:rPr>
                  <w:rFonts w:ascii="Cambria Math" w:hAnsi="Cambria Math" w:cs="Times New Roman"/>
                </w:rPr>
                <m:t>-NA</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i,q-1</m:t>
                  </m:r>
                </m:sub>
              </m:sSub>
            </m:num>
            <m:den>
              <m:r>
                <w:rPr>
                  <w:rFonts w:ascii="Cambria Math" w:hAnsi="Cambria Math" w:cs="Times New Roman"/>
                </w:rPr>
                <m:t>NA</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i,q-1</m:t>
                  </m:r>
                </m:sub>
              </m:sSub>
            </m:den>
          </m:f>
          <m:r>
            <m:rPr>
              <m:sty m:val="p"/>
            </m:rPr>
            <w:rPr>
              <w:rFonts w:ascii="Times New Roman" w:hAnsi="Times New Roman" w:cs="Times New Roman"/>
            </w:rPr>
            <w:br/>
          </m:r>
        </m:oMath>
      </m:oMathPara>
      <w:r w:rsidR="001D100F" w:rsidRPr="001D100F">
        <w:rPr>
          <w:rFonts w:ascii="Times New Roman" w:hAnsi="Times New Roman" w:cs="Times New Roman"/>
        </w:rPr>
        <w:t xml:space="preserve">where </w:t>
      </w:r>
      <m:oMath>
        <m:r>
          <w:rPr>
            <w:rFonts w:ascii="Cambria Math" w:hAnsi="Cambria Math" w:cs="Times New Roman"/>
          </w:rPr>
          <m:t>NA</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i,q</m:t>
            </m:r>
          </m:sub>
        </m:sSub>
        <m:r>
          <w:rPr>
            <w:rFonts w:ascii="Cambria Math" w:hAnsi="Cambria Math" w:cs="Times New Roman"/>
          </w:rPr>
          <m:t xml:space="preserve"> </m:t>
        </m:r>
      </m:oMath>
      <w:r w:rsidR="001D100F" w:rsidRPr="001D100F">
        <w:rPr>
          <w:rFonts w:ascii="Times New Roman" w:hAnsi="Times New Roman" w:cs="Times New Roman"/>
        </w:rPr>
        <w:t xml:space="preserve">is the reported NAV per share for BDC </w:t>
      </w:r>
      <m:oMath>
        <m:r>
          <w:rPr>
            <w:rFonts w:ascii="Cambria Math" w:hAnsi="Cambria Math" w:cs="Times New Roman"/>
          </w:rPr>
          <m:t>i</m:t>
        </m:r>
      </m:oMath>
      <w:r w:rsidR="001D100F" w:rsidRPr="001D100F">
        <w:rPr>
          <w:rFonts w:ascii="Times New Roman" w:hAnsi="Times New Roman" w:cs="Times New Roman"/>
        </w:rPr>
        <w:t xml:space="preserve">in quarter </w:t>
      </w:r>
      <m:oMath>
        <m:r>
          <w:rPr>
            <w:rFonts w:ascii="Cambria Math" w:hAnsi="Cambria Math" w:cs="Times New Roman"/>
          </w:rPr>
          <m:t>q</m:t>
        </m:r>
      </m:oMath>
      <w:r w:rsidR="001D100F" w:rsidRPr="001D100F">
        <w:rPr>
          <w:rFonts w:ascii="Times New Roman" w:hAnsi="Times New Roman" w:cs="Times New Roman"/>
        </w:rPr>
        <w:t>. Because NAV is reported quarterly rather than continuously, the monthly model uses the most recently available NAV return as the lagged valuation signal:</w:t>
      </w:r>
    </w:p>
    <w:p w14:paraId="68D41A28" w14:textId="51C5D129" w:rsidR="001D100F" w:rsidRPr="001F68CA" w:rsidRDefault="00000000" w:rsidP="001F68CA">
      <w:pPr>
        <w:spacing w:line="360" w:lineRule="auto"/>
        <w:rPr>
          <w:rFonts w:ascii="Times New Roman" w:eastAsiaTheme="minorEastAsia" w:hAnsi="Times New Roman" w:cs="Times New Roman"/>
          <w:i/>
        </w:rPr>
      </w:pPr>
      <m:oMathPara>
        <m:oMath>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i,t-1</m:t>
              </m:r>
            </m:sub>
            <m:sup>
              <m:r>
                <w:rPr>
                  <w:rFonts w:ascii="Cambria Math" w:hAnsi="Cambria Math" w:cs="Times New Roman"/>
                </w:rPr>
                <m:t>NAV</m:t>
              </m:r>
            </m:sup>
          </m:sSubSup>
          <m:r>
            <w:rPr>
              <w:rFonts w:ascii="Cambria Math" w:hAnsi="Cambria Math" w:cs="Times New Roman"/>
            </w:rPr>
            <m:t>=</m:t>
          </m:r>
          <m:r>
            <m:rPr>
              <m:nor/>
            </m:rPr>
            <w:rPr>
              <w:rFonts w:ascii="Times New Roman" w:hAnsi="Times New Roman" w:cs="Times New Roman"/>
              <w:i/>
              <w:iCs/>
            </w:rPr>
            <m:t xml:space="preserve">most recently available NAV return for BDC </m:t>
          </m:r>
          <m:r>
            <w:rPr>
              <w:rFonts w:ascii="Cambria Math" w:hAnsi="Cambria Math" w:cs="Times New Roman"/>
            </w:rPr>
            <m:t>i</m:t>
          </m:r>
          <m:r>
            <m:rPr>
              <m:nor/>
            </m:rPr>
            <w:rPr>
              <w:rFonts w:ascii="Times New Roman" w:hAnsi="Times New Roman" w:cs="Times New Roman"/>
              <w:i/>
              <w:iCs/>
            </w:rPr>
            <m:t xml:space="preserve"> before month </m:t>
          </m:r>
          <m:r>
            <w:rPr>
              <w:rFonts w:ascii="Cambria Math" w:hAnsi="Cambria Math" w:cs="Times New Roman"/>
            </w:rPr>
            <m:t>t</m:t>
          </m:r>
        </m:oMath>
      </m:oMathPara>
    </w:p>
    <w:p w14:paraId="6FFD6909" w14:textId="36622C69" w:rsidR="001D100F" w:rsidRPr="001D100F" w:rsidRDefault="001D100F" w:rsidP="001F68CA">
      <w:pPr>
        <w:spacing w:line="360" w:lineRule="auto"/>
        <w:rPr>
          <w:rFonts w:ascii="Times New Roman" w:hAnsi="Times New Roman" w:cs="Times New Roman"/>
        </w:rPr>
      </w:pPr>
      <w:r w:rsidRPr="001D100F">
        <w:rPr>
          <w:rFonts w:ascii="Times New Roman" w:hAnsi="Times New Roman" w:cs="Times New Roman"/>
        </w:rPr>
        <w:t>This timing choice follows from the theory</w:t>
      </w:r>
      <w:r w:rsidR="001F68CA" w:rsidRPr="001F68CA">
        <w:rPr>
          <w:rFonts w:ascii="Times New Roman" w:hAnsi="Times New Roman" w:cs="Times New Roman"/>
        </w:rPr>
        <w:t xml:space="preserve"> that</w:t>
      </w:r>
      <w:r w:rsidRPr="001D100F">
        <w:rPr>
          <w:rFonts w:ascii="Times New Roman" w:hAnsi="Times New Roman" w:cs="Times New Roman"/>
        </w:rPr>
        <w:t xml:space="preserve"> </w:t>
      </w:r>
      <w:r w:rsidR="001F68CA" w:rsidRPr="001F68CA">
        <w:rPr>
          <w:rFonts w:ascii="Times New Roman" w:hAnsi="Times New Roman" w:cs="Times New Roman"/>
        </w:rPr>
        <w:t>i</w:t>
      </w:r>
      <w:r w:rsidRPr="001D100F">
        <w:rPr>
          <w:rFonts w:ascii="Times New Roman" w:hAnsi="Times New Roman" w:cs="Times New Roman"/>
        </w:rPr>
        <w:t>nvestors do not observe a continuously updated measure of the BDC’s private-credit portfolio value. Instead, they observe the most recent NAV disclosure and then trade in a market environment that continues to evolve. Lagged NAV return therefore captures the last observable portfolio-value signal available when BDC shares are priced.</w:t>
      </w:r>
      <w:r w:rsidR="001F68CA" w:rsidRPr="001F68CA">
        <w:rPr>
          <w:rFonts w:ascii="Times New Roman" w:hAnsi="Times New Roman" w:cs="Times New Roman"/>
        </w:rPr>
        <w:t xml:space="preserve"> </w:t>
      </w:r>
      <w:r w:rsidRPr="001D100F">
        <w:rPr>
          <w:rFonts w:ascii="Times New Roman" w:hAnsi="Times New Roman" w:cs="Times New Roman"/>
        </w:rPr>
        <w:t>The first macro-financial variable is the change in the 10-year Treasury yield:</w:t>
      </w:r>
    </w:p>
    <w:p w14:paraId="67B375DA" w14:textId="6F4E85C5" w:rsidR="001D100F" w:rsidRPr="001D100F" w:rsidRDefault="001D100F" w:rsidP="001F68CA">
      <w:pPr>
        <w:spacing w:line="360" w:lineRule="auto"/>
        <w:rPr>
          <w:rFonts w:ascii="Times New Roman" w:hAnsi="Times New Roman" w:cs="Times New Roman"/>
        </w:rPr>
      </w:pPr>
      <m:oMathPara>
        <m:oMath>
          <m:r>
            <m:rPr>
              <m:sty m:val="p"/>
            </m:rPr>
            <w:rPr>
              <w:rFonts w:ascii="Cambria Math" w:hAnsi="Cambria Math" w:cs="Times New Roman"/>
            </w:rPr>
            <m:t>Δ</m:t>
          </m:r>
          <m:r>
            <w:rPr>
              <w:rFonts w:ascii="Cambria Math" w:hAnsi="Cambria Math" w:cs="Times New Roman"/>
            </w:rPr>
            <m:t>DGS</m:t>
          </m:r>
          <m:sSub>
            <m:sSubPr>
              <m:ctrlPr>
                <w:rPr>
                  <w:rFonts w:ascii="Cambria Math" w:hAnsi="Cambria Math" w:cs="Times New Roman"/>
                </w:rPr>
              </m:ctrlPr>
            </m:sSubPr>
            <m:e>
              <m:r>
                <w:rPr>
                  <w:rFonts w:ascii="Cambria Math" w:hAnsi="Cambria Math" w:cs="Times New Roman"/>
                </w:rPr>
                <m:t>10</m:t>
              </m:r>
            </m:e>
            <m:sub>
              <m:r>
                <w:rPr>
                  <w:rFonts w:ascii="Cambria Math" w:hAnsi="Cambria Math" w:cs="Times New Roman"/>
                </w:rPr>
                <m:t>t</m:t>
              </m:r>
            </m:sub>
          </m:sSub>
          <m:r>
            <w:rPr>
              <w:rFonts w:ascii="Cambria Math" w:hAnsi="Cambria Math" w:cs="Times New Roman"/>
            </w:rPr>
            <m:t>=DGS</m:t>
          </m:r>
          <m:sSub>
            <m:sSubPr>
              <m:ctrlPr>
                <w:rPr>
                  <w:rFonts w:ascii="Cambria Math" w:hAnsi="Cambria Math" w:cs="Times New Roman"/>
                </w:rPr>
              </m:ctrlPr>
            </m:sSubPr>
            <m:e>
              <m:r>
                <w:rPr>
                  <w:rFonts w:ascii="Cambria Math" w:hAnsi="Cambria Math" w:cs="Times New Roman"/>
                </w:rPr>
                <m:t>10</m:t>
              </m:r>
            </m:e>
            <m:sub>
              <m:r>
                <w:rPr>
                  <w:rFonts w:ascii="Cambria Math" w:hAnsi="Cambria Math" w:cs="Times New Roman"/>
                </w:rPr>
                <m:t>t</m:t>
              </m:r>
            </m:sub>
          </m:sSub>
          <m:r>
            <w:rPr>
              <w:rFonts w:ascii="Cambria Math" w:hAnsi="Cambria Math" w:cs="Times New Roman"/>
            </w:rPr>
            <m:t>-DGS</m:t>
          </m:r>
          <m:sSub>
            <m:sSubPr>
              <m:ctrlPr>
                <w:rPr>
                  <w:rFonts w:ascii="Cambria Math" w:hAnsi="Cambria Math" w:cs="Times New Roman"/>
                </w:rPr>
              </m:ctrlPr>
            </m:sSubPr>
            <m:e>
              <m:r>
                <w:rPr>
                  <w:rFonts w:ascii="Cambria Math" w:hAnsi="Cambria Math" w:cs="Times New Roman"/>
                </w:rPr>
                <m:t>10</m:t>
              </m:r>
            </m:e>
            <m:sub>
              <m:r>
                <w:rPr>
                  <w:rFonts w:ascii="Cambria Math" w:hAnsi="Cambria Math" w:cs="Times New Roman"/>
                </w:rPr>
                <m:t>t-1</m:t>
              </m:r>
            </m:sub>
          </m:sSub>
        </m:oMath>
      </m:oMathPara>
    </w:p>
    <w:p w14:paraId="75C79D73" w14:textId="326EB74D" w:rsidR="001D100F" w:rsidRPr="001D100F" w:rsidRDefault="001D100F" w:rsidP="001F68CA">
      <w:pPr>
        <w:spacing w:line="360" w:lineRule="auto"/>
        <w:rPr>
          <w:rFonts w:ascii="Times New Roman" w:hAnsi="Times New Roman" w:cs="Times New Roman"/>
        </w:rPr>
      </w:pPr>
      <w:r w:rsidRPr="001D100F">
        <w:rPr>
          <w:rFonts w:ascii="Times New Roman" w:hAnsi="Times New Roman" w:cs="Times New Roman"/>
        </w:rPr>
        <w:t>This variable captures the discount-rate channel. When Treasury yields rise, the discount rate applied to future cash flows increases, which may reduce the present value of BDC portfolio cash flows and increase the required return on BDC shares. This is especially relevant because BDC stock returns have been linked to interest-rate sensitivity through their asset-liability structure and dividend-paying profile (Park, 2013). The second macro-financial variable is the change in credit spreads:</w:t>
      </w:r>
    </w:p>
    <w:p w14:paraId="05F034A6" w14:textId="5C7ACBA1" w:rsidR="001D100F" w:rsidRPr="001D100F" w:rsidRDefault="001D100F" w:rsidP="001F68CA">
      <w:pPr>
        <w:spacing w:line="360" w:lineRule="auto"/>
        <w:rPr>
          <w:rFonts w:ascii="Times New Roman" w:hAnsi="Times New Roman" w:cs="Times New Roman"/>
        </w:rPr>
      </w:pPr>
      <m:oMathPara>
        <m:oMath>
          <m:r>
            <m:rPr>
              <m:sty m:val="p"/>
            </m:rPr>
            <w:rPr>
              <w:rFonts w:ascii="Cambria Math" w:hAnsi="Cambria Math" w:cs="Times New Roman"/>
            </w:rPr>
            <m:t>Δ</m:t>
          </m:r>
          <m:r>
            <w:rPr>
              <w:rFonts w:ascii="Cambria Math" w:hAnsi="Cambria Math" w:cs="Times New Roman"/>
            </w:rPr>
            <m:t>Sprea</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r>
            <w:rPr>
              <w:rFonts w:ascii="Cambria Math" w:hAnsi="Cambria Math" w:cs="Times New Roman"/>
            </w:rPr>
            <m:t>=Sprea</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r>
            <w:rPr>
              <w:rFonts w:ascii="Cambria Math" w:hAnsi="Cambria Math" w:cs="Times New Roman"/>
            </w:rPr>
            <m:t>-Sprea</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t-1</m:t>
              </m:r>
            </m:sub>
          </m:sSub>
        </m:oMath>
      </m:oMathPara>
    </w:p>
    <w:p w14:paraId="6B207F1F" w14:textId="77777777" w:rsidR="001D100F" w:rsidRPr="001D100F" w:rsidRDefault="001D100F" w:rsidP="001F68CA">
      <w:pPr>
        <w:spacing w:line="360" w:lineRule="auto"/>
        <w:rPr>
          <w:rFonts w:ascii="Times New Roman" w:hAnsi="Times New Roman" w:cs="Times New Roman"/>
        </w:rPr>
      </w:pPr>
      <w:r w:rsidRPr="001D100F">
        <w:rPr>
          <w:rFonts w:ascii="Times New Roman" w:hAnsi="Times New Roman" w:cs="Times New Roman"/>
        </w:rPr>
        <w:t>where the main spread measure is:</w:t>
      </w:r>
    </w:p>
    <w:p w14:paraId="3BC5E1D4" w14:textId="77777777" w:rsidR="001F68CA" w:rsidRPr="001F68CA" w:rsidRDefault="001D100F" w:rsidP="001F68CA">
      <w:pPr>
        <w:spacing w:line="360" w:lineRule="auto"/>
        <w:rPr>
          <w:rFonts w:ascii="Times New Roman" w:eastAsiaTheme="minorEastAsia" w:hAnsi="Times New Roman" w:cs="Times New Roman"/>
        </w:rPr>
      </w:pPr>
      <m:oMathPara>
        <m:oMath>
          <m:r>
            <w:rPr>
              <w:rFonts w:ascii="Cambria Math" w:hAnsi="Cambria Math" w:cs="Times New Roman"/>
            </w:rPr>
            <w:lastRenderedPageBreak/>
            <m:t>Sprea</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r>
            <w:rPr>
              <w:rFonts w:ascii="Cambria Math" w:hAnsi="Cambria Math" w:cs="Times New Roman"/>
            </w:rPr>
            <m:t>=BaaYiel</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r>
            <w:rPr>
              <w:rFonts w:ascii="Cambria Math" w:hAnsi="Cambria Math" w:cs="Times New Roman"/>
            </w:rPr>
            <m:t>-DGS</m:t>
          </m:r>
          <m:sSub>
            <m:sSubPr>
              <m:ctrlPr>
                <w:rPr>
                  <w:rFonts w:ascii="Cambria Math" w:hAnsi="Cambria Math" w:cs="Times New Roman"/>
                </w:rPr>
              </m:ctrlPr>
            </m:sSubPr>
            <m:e>
              <m:r>
                <w:rPr>
                  <w:rFonts w:ascii="Cambria Math" w:hAnsi="Cambria Math" w:cs="Times New Roman"/>
                </w:rPr>
                <m:t>10</m:t>
              </m:r>
            </m:e>
            <m:sub>
              <m:r>
                <w:rPr>
                  <w:rFonts w:ascii="Cambria Math" w:hAnsi="Cambria Math" w:cs="Times New Roman"/>
                </w:rPr>
                <m:t>t</m:t>
              </m:r>
            </m:sub>
          </m:sSub>
        </m:oMath>
      </m:oMathPara>
    </w:p>
    <w:p w14:paraId="28728661" w14:textId="7977F337" w:rsidR="001D100F" w:rsidRPr="001D100F" w:rsidRDefault="001D100F" w:rsidP="001F68CA">
      <w:pPr>
        <w:spacing w:line="360" w:lineRule="auto"/>
        <w:rPr>
          <w:rFonts w:ascii="Times New Roman" w:hAnsi="Times New Roman" w:cs="Times New Roman"/>
        </w:rPr>
      </w:pPr>
      <w:r w:rsidRPr="001D100F">
        <w:rPr>
          <w:rFonts w:ascii="Times New Roman" w:hAnsi="Times New Roman" w:cs="Times New Roman"/>
        </w:rPr>
        <w:t>Credit spreads capture the risk-premium channel. Since BDCs invest in private-credit borrowers, widening credit spreads may indicate that investors require greater compensation for credit risk. In that environment, public market prices may respond quickly to perceived changes in credit risk, even if reported NAV has not yet fully adjusted to those conditions.</w:t>
      </w:r>
      <w:r w:rsidR="001F68CA" w:rsidRPr="001F68CA">
        <w:rPr>
          <w:rFonts w:ascii="Times New Roman" w:hAnsi="Times New Roman" w:cs="Times New Roman"/>
        </w:rPr>
        <w:t xml:space="preserve"> </w:t>
      </w:r>
      <w:r w:rsidRPr="001D100F">
        <w:rPr>
          <w:rFonts w:ascii="Times New Roman" w:hAnsi="Times New Roman" w:cs="Times New Roman"/>
        </w:rPr>
        <w:t>The main interaction terms are:</w:t>
      </w:r>
    </w:p>
    <w:p w14:paraId="22D49E66" w14:textId="77777777" w:rsidR="001F68CA" w:rsidRPr="001F68CA" w:rsidRDefault="00000000" w:rsidP="001F68CA">
      <w:pPr>
        <w:spacing w:line="360" w:lineRule="auto"/>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i,t-1</m:t>
              </m:r>
            </m:sub>
            <m:sup>
              <m:r>
                <w:rPr>
                  <w:rFonts w:ascii="Cambria Math" w:hAnsi="Cambria Math" w:cs="Times New Roman"/>
                </w:rPr>
                <m:t>NAV</m:t>
              </m:r>
            </m:sup>
          </m:sSubSup>
          <m:r>
            <w:rPr>
              <w:rFonts w:ascii="Cambria Math" w:hAnsi="Cambria Math" w:cs="Times New Roman"/>
            </w:rPr>
            <m:t>×</m:t>
          </m:r>
          <m:r>
            <m:rPr>
              <m:sty m:val="p"/>
            </m:rPr>
            <w:rPr>
              <w:rFonts w:ascii="Cambria Math" w:hAnsi="Cambria Math" w:cs="Times New Roman"/>
            </w:rPr>
            <m:t>Δ</m:t>
          </m:r>
          <m:r>
            <w:rPr>
              <w:rFonts w:ascii="Cambria Math" w:hAnsi="Cambria Math" w:cs="Times New Roman"/>
            </w:rPr>
            <m:t>DGS</m:t>
          </m:r>
          <m:sSub>
            <m:sSubPr>
              <m:ctrlPr>
                <w:rPr>
                  <w:rFonts w:ascii="Cambria Math" w:hAnsi="Cambria Math" w:cs="Times New Roman"/>
                </w:rPr>
              </m:ctrlPr>
            </m:sSubPr>
            <m:e>
              <m:r>
                <w:rPr>
                  <w:rFonts w:ascii="Cambria Math" w:hAnsi="Cambria Math" w:cs="Times New Roman"/>
                </w:rPr>
                <m:t>10</m:t>
              </m:r>
            </m:e>
            <m:sub>
              <m:r>
                <w:rPr>
                  <w:rFonts w:ascii="Cambria Math" w:hAnsi="Cambria Math" w:cs="Times New Roman"/>
                </w:rPr>
                <m:t>t</m:t>
              </m:r>
            </m:sub>
          </m:sSub>
        </m:oMath>
      </m:oMathPara>
    </w:p>
    <w:p w14:paraId="4B7755FE" w14:textId="6ACBADBA" w:rsidR="001D100F" w:rsidRPr="001D100F" w:rsidRDefault="001D100F" w:rsidP="001F68CA">
      <w:pPr>
        <w:spacing w:line="360" w:lineRule="auto"/>
        <w:jc w:val="center"/>
        <w:rPr>
          <w:rFonts w:ascii="Times New Roman" w:hAnsi="Times New Roman" w:cs="Times New Roman"/>
        </w:rPr>
      </w:pPr>
      <w:r w:rsidRPr="001D100F">
        <w:rPr>
          <w:rFonts w:ascii="Times New Roman" w:hAnsi="Times New Roman" w:cs="Times New Roman"/>
        </w:rPr>
        <w:t>and</w:t>
      </w:r>
    </w:p>
    <w:p w14:paraId="3C2AC9EA" w14:textId="14930147" w:rsidR="001D100F" w:rsidRPr="001D100F" w:rsidRDefault="00000000" w:rsidP="001F68CA">
      <w:pPr>
        <w:spacing w:line="360" w:lineRule="auto"/>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i,t-1</m:t>
              </m:r>
            </m:sub>
            <m:sup>
              <m:r>
                <w:rPr>
                  <w:rFonts w:ascii="Cambria Math" w:hAnsi="Cambria Math" w:cs="Times New Roman"/>
                </w:rPr>
                <m:t>NAV</m:t>
              </m:r>
            </m:sup>
          </m:sSubSup>
          <m:r>
            <w:rPr>
              <w:rFonts w:ascii="Cambria Math" w:hAnsi="Cambria Math" w:cs="Times New Roman"/>
            </w:rPr>
            <m:t>×</m:t>
          </m:r>
          <m:r>
            <m:rPr>
              <m:sty m:val="p"/>
            </m:rPr>
            <w:rPr>
              <w:rFonts w:ascii="Cambria Math" w:hAnsi="Cambria Math" w:cs="Times New Roman"/>
            </w:rPr>
            <m:t>Δ</m:t>
          </m:r>
          <m:r>
            <w:rPr>
              <w:rFonts w:ascii="Cambria Math" w:hAnsi="Cambria Math" w:cs="Times New Roman"/>
            </w:rPr>
            <m:t>Sprea</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r>
            <m:rPr>
              <m:sty m:val="p"/>
            </m:rPr>
            <w:rPr>
              <w:rFonts w:ascii="Times New Roman" w:hAnsi="Times New Roman" w:cs="Times New Roman"/>
            </w:rPr>
            <w:br/>
          </m:r>
        </m:oMath>
      </m:oMathPara>
    </w:p>
    <w:p w14:paraId="629ED164" w14:textId="542F14B1" w:rsidR="001D100F" w:rsidRPr="001D100F" w:rsidRDefault="001D100F" w:rsidP="001F68CA">
      <w:pPr>
        <w:spacing w:line="360" w:lineRule="auto"/>
        <w:rPr>
          <w:rFonts w:ascii="Times New Roman" w:hAnsi="Times New Roman" w:cs="Times New Roman"/>
        </w:rPr>
      </w:pPr>
      <w:r w:rsidRPr="001D100F">
        <w:rPr>
          <w:rFonts w:ascii="Times New Roman" w:hAnsi="Times New Roman" w:cs="Times New Roman"/>
        </w:rPr>
        <w:t>These interactions allow the NAV-market return relationship to vary with the valuation environment. The first interaction tests whether interest-rate changes alter the sensitivity of market returns to lagged NAV returns. The second interaction tests whether credit-spread changes alter that same sensitivity.</w:t>
      </w:r>
      <w:r w:rsidR="001F68CA" w:rsidRPr="001F68CA">
        <w:rPr>
          <w:rFonts w:ascii="Times New Roman" w:hAnsi="Times New Roman" w:cs="Times New Roman"/>
        </w:rPr>
        <w:t xml:space="preserve"> </w:t>
      </w:r>
      <w:r w:rsidRPr="001D100F">
        <w:rPr>
          <w:rFonts w:ascii="Times New Roman" w:hAnsi="Times New Roman" w:cs="Times New Roman"/>
        </w:rPr>
        <w:t>The baseline regression is:</w:t>
      </w:r>
    </w:p>
    <w:p w14:paraId="01D3D7ED" w14:textId="26319255" w:rsidR="001D100F" w:rsidRPr="001D100F" w:rsidRDefault="00000000" w:rsidP="001F68CA">
      <w:pPr>
        <w:spacing w:line="360" w:lineRule="auto"/>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i,t</m:t>
              </m:r>
            </m:sub>
            <m:sup>
              <m:r>
                <w:rPr>
                  <w:rFonts w:ascii="Cambria Math" w:hAnsi="Cambria Math" w:cs="Times New Roman"/>
                </w:rPr>
                <m:t>MKT</m:t>
              </m:r>
            </m:sup>
          </m:sSubSup>
          <m:r>
            <w:rPr>
              <w:rFonts w:ascii="Cambria Math" w:hAnsi="Cambria Math" w:cs="Times New Roman"/>
            </w:rPr>
            <m:t>=α+</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i,t-1</m:t>
              </m:r>
            </m:sub>
            <m:sup>
              <m:r>
                <w:rPr>
                  <w:rFonts w:ascii="Cambria Math" w:hAnsi="Cambria Math" w:cs="Times New Roman"/>
                </w:rPr>
                <m:t>NAV</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r>
            <m:rPr>
              <m:sty m:val="p"/>
            </m:rPr>
            <w:rPr>
              <w:rFonts w:ascii="Cambria Math" w:hAnsi="Cambria Math" w:cs="Times New Roman"/>
            </w:rPr>
            <m:t>Δ</m:t>
          </m:r>
          <m:r>
            <w:rPr>
              <w:rFonts w:ascii="Cambria Math" w:hAnsi="Cambria Math" w:cs="Times New Roman"/>
            </w:rPr>
            <m:t>DGS</m:t>
          </m:r>
          <m:sSub>
            <m:sSubPr>
              <m:ctrlPr>
                <w:rPr>
                  <w:rFonts w:ascii="Cambria Math" w:hAnsi="Cambria Math" w:cs="Times New Roman"/>
                </w:rPr>
              </m:ctrlPr>
            </m:sSubPr>
            <m:e>
              <m:r>
                <w:rPr>
                  <w:rFonts w:ascii="Cambria Math" w:hAnsi="Cambria Math" w:cs="Times New Roman"/>
                </w:rPr>
                <m:t>10</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3</m:t>
              </m:r>
            </m:sub>
          </m:sSub>
          <m:r>
            <m:rPr>
              <m:sty m:val="p"/>
            </m:rPr>
            <w:rPr>
              <w:rFonts w:ascii="Cambria Math" w:hAnsi="Cambria Math" w:cs="Times New Roman"/>
            </w:rPr>
            <m:t>Δ</m:t>
          </m:r>
          <m:r>
            <w:rPr>
              <w:rFonts w:ascii="Cambria Math" w:hAnsi="Cambria Math" w:cs="Times New Roman"/>
            </w:rPr>
            <m:t>Sprea</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4</m:t>
              </m:r>
            </m:sub>
          </m:sSub>
          <m:d>
            <m:dPr>
              <m:sep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i,t-1</m:t>
                  </m:r>
                </m:sub>
                <m:sup>
                  <m:r>
                    <w:rPr>
                      <w:rFonts w:ascii="Cambria Math" w:hAnsi="Cambria Math" w:cs="Times New Roman"/>
                    </w:rPr>
                    <m:t>NAV</m:t>
                  </m:r>
                </m:sup>
              </m:sSubSup>
            </m:e>
            <m:e>
              <m:r>
                <m:rPr>
                  <m:sty m:val="p"/>
                </m:rPr>
                <w:rPr>
                  <w:rFonts w:ascii="Cambria Math" w:hAnsi="Cambria Math" w:cs="Times New Roman"/>
                </w:rPr>
                <m:t>Δ</m:t>
              </m:r>
              <m:r>
                <w:rPr>
                  <w:rFonts w:ascii="Cambria Math" w:hAnsi="Cambria Math" w:cs="Times New Roman"/>
                </w:rPr>
                <m:t>DGS</m:t>
              </m:r>
              <m:sSub>
                <m:sSubPr>
                  <m:ctrlPr>
                    <w:rPr>
                      <w:rFonts w:ascii="Cambria Math" w:hAnsi="Cambria Math" w:cs="Times New Roman"/>
                    </w:rPr>
                  </m:ctrlPr>
                </m:sSubPr>
                <m:e>
                  <m:r>
                    <w:rPr>
                      <w:rFonts w:ascii="Cambria Math" w:hAnsi="Cambria Math" w:cs="Times New Roman"/>
                    </w:rPr>
                    <m:t>10</m:t>
                  </m:r>
                </m:e>
                <m:sub>
                  <m:r>
                    <w:rPr>
                      <w:rFonts w:ascii="Cambria Math" w:hAnsi="Cambria Math" w:cs="Times New Roman"/>
                    </w:rPr>
                    <m:t>t</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5</m:t>
              </m:r>
            </m:sub>
          </m:sSub>
          <m:d>
            <m:dPr>
              <m:sep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i,t-1</m:t>
                  </m:r>
                </m:sub>
                <m:sup>
                  <m:r>
                    <w:rPr>
                      <w:rFonts w:ascii="Cambria Math" w:hAnsi="Cambria Math" w:cs="Times New Roman"/>
                    </w:rPr>
                    <m:t>NAV</m:t>
                  </m:r>
                </m:sup>
              </m:sSubSup>
            </m:e>
            <m:e>
              <m:r>
                <m:rPr>
                  <m:sty m:val="p"/>
                </m:rPr>
                <w:rPr>
                  <w:rFonts w:ascii="Cambria Math" w:hAnsi="Cambria Math" w:cs="Times New Roman"/>
                </w:rPr>
                <m:t>Δ</m:t>
              </m:r>
              <m:r>
                <w:rPr>
                  <w:rFonts w:ascii="Cambria Math" w:hAnsi="Cambria Math" w:cs="Times New Roman"/>
                </w:rPr>
                <m:t>Sprea</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e>
          </m:d>
          <m:r>
            <w:rPr>
              <w:rFonts w:ascii="Cambria Math" w:hAnsi="Cambria Math" w:cs="Times New Roman"/>
            </w:rPr>
            <m:t>+γ</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i,t</m:t>
              </m:r>
            </m:sub>
          </m:sSub>
          <m:r>
            <m:rPr>
              <m:sty m:val="p"/>
            </m:rPr>
            <w:rPr>
              <w:rFonts w:ascii="Times New Roman" w:hAnsi="Times New Roman" w:cs="Times New Roman"/>
            </w:rPr>
            <w:br/>
          </m:r>
        </m:oMath>
      </m:oMathPara>
    </w:p>
    <w:p w14:paraId="370F5678" w14:textId="3AC79AEB" w:rsidR="001D100F" w:rsidRPr="001D100F" w:rsidRDefault="001D100F" w:rsidP="001F68CA">
      <w:pPr>
        <w:spacing w:line="360" w:lineRule="auto"/>
        <w:rPr>
          <w:rFonts w:ascii="Times New Roman" w:hAnsi="Times New Roman" w:cs="Times New Roman"/>
        </w:rPr>
      </w:pPr>
      <w:r w:rsidRPr="001D100F">
        <w:rPr>
          <w:rFonts w:ascii="Times New Roman" w:hAnsi="Times New Roman" w:cs="Times New Roman"/>
        </w:rPr>
        <w:t xml:space="preserve">In this specification,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i,t</m:t>
            </m:r>
          </m:sub>
        </m:sSub>
      </m:oMath>
      <w:r w:rsidRPr="001D100F">
        <w:rPr>
          <w:rFonts w:ascii="Times New Roman" w:hAnsi="Times New Roman" w:cs="Times New Roman"/>
        </w:rPr>
        <w:t xml:space="preserve">represents BDC-level controls,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oMath>
      <w:r w:rsidRPr="001D100F">
        <w:rPr>
          <w:rFonts w:ascii="Times New Roman" w:hAnsi="Times New Roman" w:cs="Times New Roman"/>
        </w:rPr>
        <w:t xml:space="preserve">represents BDC fixed effects, and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i,t</m:t>
            </m:r>
          </m:sub>
        </m:sSub>
      </m:oMath>
      <w:r w:rsidRPr="001D100F">
        <w:rPr>
          <w:rFonts w:ascii="Times New Roman" w:hAnsi="Times New Roman" w:cs="Times New Roman"/>
        </w:rPr>
        <w:t>is the error term. The implied sensitivity of BDC market returns to lagged NAV returns is:</w:t>
      </w:r>
    </w:p>
    <w:p w14:paraId="62751C5A" w14:textId="2D39A9FC" w:rsidR="001D100F" w:rsidRPr="001D100F" w:rsidRDefault="00000000" w:rsidP="001F68CA">
      <w:pPr>
        <w:spacing w:line="360" w:lineRule="auto"/>
        <w:rPr>
          <w:rFonts w:ascii="Times New Roman" w:hAnsi="Times New Roman" w:cs="Times New Roman"/>
        </w:rPr>
      </w:pPr>
      <m:oMathPara>
        <m:oMath>
          <m:f>
            <m:fPr>
              <m:ctrlPr>
                <w:rPr>
                  <w:rFonts w:ascii="Cambria Math" w:hAnsi="Cambria Math" w:cs="Times New Roman"/>
                </w:rPr>
              </m:ctrlPr>
            </m:fPr>
            <m:num>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i,t</m:t>
                  </m:r>
                </m:sub>
                <m:sup>
                  <m:r>
                    <w:rPr>
                      <w:rFonts w:ascii="Cambria Math" w:hAnsi="Cambria Math" w:cs="Times New Roman"/>
                    </w:rPr>
                    <m:t>MKT</m:t>
                  </m:r>
                </m:sup>
              </m:sSubSup>
            </m:num>
            <m:den>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i,t-1</m:t>
                  </m:r>
                </m:sub>
                <m:sup>
                  <m:r>
                    <w:rPr>
                      <w:rFonts w:ascii="Cambria Math" w:hAnsi="Cambria Math" w:cs="Times New Roman"/>
                    </w:rPr>
                    <m:t>NAV</m:t>
                  </m:r>
                </m:sup>
              </m:sSubSup>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4</m:t>
              </m:r>
            </m:sub>
          </m:sSub>
          <m:r>
            <m:rPr>
              <m:sty m:val="p"/>
            </m:rPr>
            <w:rPr>
              <w:rFonts w:ascii="Cambria Math" w:hAnsi="Cambria Math" w:cs="Times New Roman"/>
            </w:rPr>
            <m:t>Δ</m:t>
          </m:r>
          <m:r>
            <w:rPr>
              <w:rFonts w:ascii="Cambria Math" w:hAnsi="Cambria Math" w:cs="Times New Roman"/>
            </w:rPr>
            <m:t>DGS</m:t>
          </m:r>
          <m:sSub>
            <m:sSubPr>
              <m:ctrlPr>
                <w:rPr>
                  <w:rFonts w:ascii="Cambria Math" w:hAnsi="Cambria Math" w:cs="Times New Roman"/>
                </w:rPr>
              </m:ctrlPr>
            </m:sSubPr>
            <m:e>
              <m:r>
                <w:rPr>
                  <w:rFonts w:ascii="Cambria Math" w:hAnsi="Cambria Math" w:cs="Times New Roman"/>
                </w:rPr>
                <m:t>10</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5</m:t>
              </m:r>
            </m:sub>
          </m:sSub>
          <m:r>
            <m:rPr>
              <m:sty m:val="p"/>
            </m:rPr>
            <w:rPr>
              <w:rFonts w:ascii="Cambria Math" w:hAnsi="Cambria Math" w:cs="Times New Roman"/>
            </w:rPr>
            <m:t>Δ</m:t>
          </m:r>
          <m:r>
            <w:rPr>
              <w:rFonts w:ascii="Cambria Math" w:hAnsi="Cambria Math" w:cs="Times New Roman"/>
            </w:rPr>
            <m:t>Sprea</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oMath>
      </m:oMathPara>
    </w:p>
    <w:p w14:paraId="04187351" w14:textId="2A95449D" w:rsidR="001D100F" w:rsidRPr="001D100F" w:rsidRDefault="001D100F" w:rsidP="001F68CA">
      <w:pPr>
        <w:spacing w:line="360" w:lineRule="auto"/>
        <w:rPr>
          <w:rFonts w:ascii="Times New Roman" w:hAnsi="Times New Roman" w:cs="Times New Roman"/>
        </w:rPr>
      </w:pPr>
      <w:r w:rsidRPr="001D100F">
        <w:rPr>
          <w:rFonts w:ascii="Times New Roman" w:hAnsi="Times New Roman" w:cs="Times New Roman"/>
        </w:rPr>
        <w:t>This expression is the main object of interest because it shows that the effect of lagged NAV on market returns is not assumed to be constant. Instead, the strength of the NAV-market return relationship is allowed to rise or fall with changes in interest rates and credit spreads.</w:t>
      </w:r>
      <w:r w:rsidR="001F68CA" w:rsidRPr="001F68CA">
        <w:rPr>
          <w:rFonts w:ascii="Times New Roman" w:hAnsi="Times New Roman" w:cs="Times New Roman"/>
        </w:rPr>
        <w:t xml:space="preserve"> </w:t>
      </w:r>
      <w:r w:rsidRPr="001D100F">
        <w:rPr>
          <w:rFonts w:ascii="Times New Roman" w:hAnsi="Times New Roman" w:cs="Times New Roman"/>
        </w:rPr>
        <w:t xml:space="preserve">The study will also include a complementary NAV announcement analysis. NAV releases are useful disclosure events because they mark the moment when updated portfolio-value information becomes public. For each NAV announcement, day 0 will be defined as the NAV release date. </w:t>
      </w:r>
      <w:r w:rsidRPr="001D100F">
        <w:rPr>
          <w:rFonts w:ascii="Times New Roman" w:hAnsi="Times New Roman" w:cs="Times New Roman"/>
        </w:rPr>
        <w:lastRenderedPageBreak/>
        <w:t>The event window will run from three trading days before the announcement to three trading days after the announcement:</w:t>
      </w:r>
    </w:p>
    <w:p w14:paraId="390C9955" w14:textId="6E51153D" w:rsidR="001D100F" w:rsidRPr="001D100F" w:rsidRDefault="001D100F" w:rsidP="001F68CA">
      <w:pPr>
        <w:spacing w:line="360" w:lineRule="auto"/>
        <w:rPr>
          <w:rFonts w:ascii="Times New Roman" w:hAnsi="Times New Roman" w:cs="Times New Roman"/>
        </w:rPr>
      </w:pPr>
      <m:oMathPara>
        <m:oMath>
          <m:r>
            <w:rPr>
              <w:rFonts w:ascii="Cambria Math" w:hAnsi="Cambria Math" w:cs="Times New Roman"/>
            </w:rPr>
            <m:t>EventWindo</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i,q</m:t>
              </m:r>
            </m:sub>
          </m:sSub>
          <m:r>
            <w:rPr>
              <w:rFonts w:ascii="Cambria Math" w:hAnsi="Cambria Math" w:cs="Times New Roman"/>
            </w:rPr>
            <m:t>=[-3,+3]</m:t>
          </m:r>
          <m:r>
            <m:rPr>
              <m:sty m:val="p"/>
            </m:rPr>
            <w:rPr>
              <w:rFonts w:ascii="Times New Roman" w:hAnsi="Times New Roman" w:cs="Times New Roman"/>
            </w:rPr>
            <w:br/>
          </m:r>
        </m:oMath>
      </m:oMathPara>
    </w:p>
    <w:p w14:paraId="3363207B" w14:textId="77777777" w:rsidR="001D100F" w:rsidRPr="001D100F" w:rsidRDefault="001D100F" w:rsidP="001F68CA">
      <w:pPr>
        <w:spacing w:line="360" w:lineRule="auto"/>
        <w:rPr>
          <w:rFonts w:ascii="Times New Roman" w:hAnsi="Times New Roman" w:cs="Times New Roman"/>
        </w:rPr>
      </w:pPr>
      <w:r w:rsidRPr="001D100F">
        <w:rPr>
          <w:rFonts w:ascii="Times New Roman" w:hAnsi="Times New Roman" w:cs="Times New Roman"/>
        </w:rPr>
        <w:t>The cumulative event return over this window is:</w:t>
      </w:r>
    </w:p>
    <w:p w14:paraId="7CE1D6E9" w14:textId="4D36A287" w:rsidR="001D100F" w:rsidRPr="001D100F" w:rsidRDefault="001D100F" w:rsidP="001F68CA">
      <w:pPr>
        <w:spacing w:line="360" w:lineRule="auto"/>
        <w:rPr>
          <w:rFonts w:ascii="Times New Roman" w:hAnsi="Times New Roman" w:cs="Times New Roman"/>
        </w:rPr>
      </w:pPr>
      <m:oMathPara>
        <m:oMath>
          <m:r>
            <w:rPr>
              <w:rFonts w:ascii="Cambria Math" w:hAnsi="Cambria Math" w:cs="Times New Roman"/>
            </w:rPr>
            <m:t>EventRetur</m:t>
          </m:r>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i,q</m:t>
              </m:r>
            </m:sub>
            <m:sup>
              <m:d>
                <m:dPr>
                  <m:begChr m:val="["/>
                  <m:endChr m:val="]"/>
                  <m:ctrlPr>
                    <w:rPr>
                      <w:rFonts w:ascii="Cambria Math" w:hAnsi="Cambria Math" w:cs="Times New Roman"/>
                    </w:rPr>
                  </m:ctrlPr>
                </m:dPr>
                <m:e>
                  <m:r>
                    <w:rPr>
                      <w:rFonts w:ascii="Cambria Math" w:hAnsi="Cambria Math" w:cs="Times New Roman"/>
                    </w:rPr>
                    <m:t>-3,+3</m:t>
                  </m:r>
                </m:e>
              </m:d>
            </m:sup>
          </m:sSubSup>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d=-3</m:t>
              </m:r>
            </m:sub>
            <m:sup>
              <m:r>
                <w:rPr>
                  <w:rFonts w:ascii="Cambria Math" w:hAnsi="Cambria Math" w:cs="Times New Roman"/>
                </w:rPr>
                <m:t>+3</m:t>
              </m:r>
            </m:sup>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i,d</m:t>
                  </m:r>
                </m:sub>
              </m:sSub>
            </m:e>
          </m:nary>
          <m:r>
            <m:rPr>
              <m:sty m:val="p"/>
            </m:rPr>
            <w:rPr>
              <w:rFonts w:ascii="Times New Roman" w:hAnsi="Times New Roman" w:cs="Times New Roman"/>
            </w:rPr>
            <w:br/>
          </m:r>
        </m:oMath>
      </m:oMathPara>
    </w:p>
    <w:p w14:paraId="7EFEACBD" w14:textId="77777777" w:rsidR="001D100F" w:rsidRPr="001D100F" w:rsidRDefault="001D100F" w:rsidP="001F68CA">
      <w:pPr>
        <w:spacing w:line="360" w:lineRule="auto"/>
        <w:rPr>
          <w:rFonts w:ascii="Times New Roman" w:hAnsi="Times New Roman" w:cs="Times New Roman"/>
        </w:rPr>
      </w:pPr>
      <w:r w:rsidRPr="001D100F">
        <w:rPr>
          <w:rFonts w:ascii="Times New Roman" w:hAnsi="Times New Roman" w:cs="Times New Roman"/>
        </w:rPr>
        <w:t>When abnormal returns are used, the event-study outcome will be:</w:t>
      </w:r>
    </w:p>
    <w:p w14:paraId="6E09F023" w14:textId="62D7DBCF" w:rsidR="001D100F" w:rsidRPr="001D100F" w:rsidRDefault="001D100F" w:rsidP="001F68CA">
      <w:pPr>
        <w:spacing w:line="360" w:lineRule="auto"/>
        <w:rPr>
          <w:rFonts w:ascii="Times New Roman" w:hAnsi="Times New Roman" w:cs="Times New Roman"/>
        </w:rPr>
      </w:pPr>
      <m:oMathPara>
        <m:oMath>
          <m:r>
            <w:rPr>
              <w:rFonts w:ascii="Cambria Math" w:hAnsi="Cambria Math" w:cs="Times New Roman"/>
            </w:rPr>
            <m:t>CA</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i,q</m:t>
              </m:r>
            </m:sub>
            <m:sup>
              <m:d>
                <m:dPr>
                  <m:begChr m:val="["/>
                  <m:endChr m:val="]"/>
                  <m:ctrlPr>
                    <w:rPr>
                      <w:rFonts w:ascii="Cambria Math" w:hAnsi="Cambria Math" w:cs="Times New Roman"/>
                    </w:rPr>
                  </m:ctrlPr>
                </m:dPr>
                <m:e>
                  <m:r>
                    <w:rPr>
                      <w:rFonts w:ascii="Cambria Math" w:hAnsi="Cambria Math" w:cs="Times New Roman"/>
                    </w:rPr>
                    <m:t>-3,+3</m:t>
                  </m:r>
                </m:e>
              </m:d>
            </m:sup>
          </m:sSubSup>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d=-3</m:t>
              </m:r>
            </m:sub>
            <m:sup>
              <m:r>
                <w:rPr>
                  <w:rFonts w:ascii="Cambria Math" w:hAnsi="Cambria Math" w:cs="Times New Roman"/>
                </w:rPr>
                <m:t>+3</m:t>
              </m:r>
            </m:sup>
            <m:e>
              <m:r>
                <w:rPr>
                  <w:rFonts w:ascii="Cambria Math" w:hAnsi="Cambria Math" w:cs="Times New Roman"/>
                </w:rPr>
                <m:t>A</m:t>
              </m:r>
            </m:e>
          </m:nary>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i,d</m:t>
              </m:r>
            </m:sub>
          </m:sSub>
          <m:r>
            <m:rPr>
              <m:sty m:val="p"/>
            </m:rPr>
            <w:rPr>
              <w:rFonts w:ascii="Times New Roman" w:hAnsi="Times New Roman" w:cs="Times New Roman"/>
            </w:rPr>
            <w:br/>
          </m:r>
        </m:oMath>
      </m:oMathPara>
      <w:r w:rsidRPr="001D100F">
        <w:rPr>
          <w:rFonts w:ascii="Times New Roman" w:hAnsi="Times New Roman" w:cs="Times New Roman"/>
        </w:rPr>
        <w:t xml:space="preserve">where abnormal return can be measured relative to a benchmark model or, in the preliminary setup, relative to the return on day </w:t>
      </w:r>
      <m:oMath>
        <m:r>
          <w:rPr>
            <w:rFonts w:ascii="Cambria Math" w:hAnsi="Cambria Math" w:cs="Times New Roman"/>
          </w:rPr>
          <m:t>-1</m:t>
        </m:r>
      </m:oMath>
      <w:r w:rsidRPr="001D100F">
        <w:rPr>
          <w:rFonts w:ascii="Times New Roman" w:hAnsi="Times New Roman" w:cs="Times New Roman"/>
        </w:rPr>
        <w:t>:</w:t>
      </w:r>
      <w:r w:rsidR="001F68CA" w:rsidRPr="001F68CA">
        <w:rPr>
          <w:rFonts w:ascii="Times New Roman" w:hAnsi="Times New Roman" w:cs="Times New Roman"/>
        </w:rPr>
        <w:t xml:space="preserve"> </w:t>
      </w:r>
      <m:oMath>
        <m:r>
          <w:rPr>
            <w:rFonts w:ascii="Cambria Math" w:hAnsi="Cambria Math" w:cs="Times New Roman"/>
          </w:rPr>
          <m:t>A</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i,-1</m:t>
            </m:r>
          </m:sub>
        </m:sSub>
      </m:oMath>
      <w:r w:rsidRPr="001D100F">
        <w:rPr>
          <w:rFonts w:ascii="Times New Roman" w:hAnsi="Times New Roman" w:cs="Times New Roman"/>
        </w:rPr>
        <w:br/>
        <w:t>The corresponding cumulative abnormal return is:</w:t>
      </w:r>
    </w:p>
    <w:p w14:paraId="0E4E609C" w14:textId="34570C07" w:rsidR="001D100F" w:rsidRPr="001D100F" w:rsidRDefault="001D100F" w:rsidP="001F68CA">
      <w:pPr>
        <w:spacing w:line="360" w:lineRule="auto"/>
        <w:rPr>
          <w:rFonts w:ascii="Times New Roman" w:hAnsi="Times New Roman" w:cs="Times New Roman"/>
        </w:rPr>
      </w:pPr>
      <m:oMathPara>
        <m:oMath>
          <m:r>
            <w:rPr>
              <w:rFonts w:ascii="Cambria Math" w:hAnsi="Cambria Math" w:cs="Times New Roman"/>
            </w:rPr>
            <m:t>CA</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i,q</m:t>
              </m:r>
            </m:sub>
            <m:sup>
              <m:d>
                <m:dPr>
                  <m:begChr m:val="["/>
                  <m:endChr m:val="]"/>
                  <m:ctrlPr>
                    <w:rPr>
                      <w:rFonts w:ascii="Cambria Math" w:hAnsi="Cambria Math" w:cs="Times New Roman"/>
                    </w:rPr>
                  </m:ctrlPr>
                </m:dPr>
                <m:e>
                  <m:r>
                    <w:rPr>
                      <w:rFonts w:ascii="Cambria Math" w:hAnsi="Cambria Math" w:cs="Times New Roman"/>
                    </w:rPr>
                    <m:t>-3,+3</m:t>
                  </m:r>
                </m:e>
              </m:d>
            </m:sup>
          </m:sSubSup>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d=-3</m:t>
              </m:r>
            </m:sub>
            <m:sup>
              <m:r>
                <w:rPr>
                  <w:rFonts w:ascii="Cambria Math" w:hAnsi="Cambria Math" w:cs="Times New Roman"/>
                </w:rPr>
                <m:t>+3</m:t>
              </m:r>
            </m:sup>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i,-1</m:t>
                      </m:r>
                    </m:sub>
                  </m:sSub>
                </m:e>
              </m:d>
            </m:e>
          </m:nary>
          <m:r>
            <m:rPr>
              <m:sty m:val="p"/>
            </m:rPr>
            <w:rPr>
              <w:rFonts w:ascii="Times New Roman" w:hAnsi="Times New Roman" w:cs="Times New Roman"/>
            </w:rPr>
            <w:br/>
          </m:r>
        </m:oMath>
      </m:oMathPara>
    </w:p>
    <w:p w14:paraId="6FDCF7BE" w14:textId="77777777" w:rsidR="001D100F" w:rsidRPr="001D100F" w:rsidRDefault="001D100F" w:rsidP="001F68CA">
      <w:pPr>
        <w:spacing w:line="360" w:lineRule="auto"/>
        <w:rPr>
          <w:rFonts w:ascii="Times New Roman" w:hAnsi="Times New Roman" w:cs="Times New Roman"/>
        </w:rPr>
      </w:pPr>
      <w:r w:rsidRPr="001D100F">
        <w:rPr>
          <w:rFonts w:ascii="Times New Roman" w:hAnsi="Times New Roman" w:cs="Times New Roman"/>
        </w:rPr>
        <w:t>This event-style outcome provides a short-window test of whether BDC valuations move around NAV announcements. It complements the monthly regression by examining whether the market responds when updated NAV information is released, while the monthly model examines whether lagged NAV remains informative across changing rate and credit-spread environments.</w:t>
      </w:r>
    </w:p>
    <w:p w14:paraId="0B192146" w14:textId="77777777" w:rsidR="001D100F" w:rsidRPr="001D100F" w:rsidRDefault="001D100F" w:rsidP="001F68CA">
      <w:pPr>
        <w:spacing w:line="360" w:lineRule="auto"/>
        <w:rPr>
          <w:rFonts w:ascii="Times New Roman" w:hAnsi="Times New Roman" w:cs="Times New Roman"/>
          <w:u w:val="single"/>
        </w:rPr>
      </w:pPr>
      <w:r w:rsidRPr="001D100F">
        <w:rPr>
          <w:rFonts w:ascii="Times New Roman" w:hAnsi="Times New Roman" w:cs="Times New Roman"/>
          <w:u w:val="single"/>
        </w:rPr>
        <w:t>Identification Strategy</w:t>
      </w:r>
    </w:p>
    <w:p w14:paraId="5E1E279C" w14:textId="102E782D" w:rsidR="001D100F" w:rsidRPr="001D100F" w:rsidRDefault="001D100F" w:rsidP="001F68CA">
      <w:pPr>
        <w:spacing w:line="360" w:lineRule="auto"/>
        <w:ind w:firstLine="720"/>
        <w:rPr>
          <w:rFonts w:ascii="Times New Roman" w:hAnsi="Times New Roman" w:cs="Times New Roman"/>
        </w:rPr>
      </w:pPr>
      <w:r w:rsidRPr="001D100F">
        <w:rPr>
          <w:rFonts w:ascii="Times New Roman" w:hAnsi="Times New Roman" w:cs="Times New Roman"/>
        </w:rPr>
        <w:t>The identification strategy is built around the timing mismatch between public market pricing and NAV reporting. BDC shares trade continuously, while NAV is reported only periodically</w:t>
      </w:r>
      <w:r w:rsidR="001F68CA" w:rsidRPr="001F68CA">
        <w:rPr>
          <w:rFonts w:ascii="Times New Roman" w:hAnsi="Times New Roman" w:cs="Times New Roman"/>
        </w:rPr>
        <w:t xml:space="preserve">, </w:t>
      </w:r>
      <w:r w:rsidRPr="001D100F">
        <w:rPr>
          <w:rFonts w:ascii="Times New Roman" w:hAnsi="Times New Roman" w:cs="Times New Roman"/>
        </w:rPr>
        <w:t>mean</w:t>
      </w:r>
      <w:r w:rsidR="001F68CA" w:rsidRPr="001F68CA">
        <w:rPr>
          <w:rFonts w:ascii="Times New Roman" w:hAnsi="Times New Roman" w:cs="Times New Roman"/>
        </w:rPr>
        <w:t>ing</w:t>
      </w:r>
      <w:r w:rsidRPr="001D100F">
        <w:rPr>
          <w:rFonts w:ascii="Times New Roman" w:hAnsi="Times New Roman" w:cs="Times New Roman"/>
        </w:rPr>
        <w:t xml:space="preserve"> </w:t>
      </w:r>
      <w:r w:rsidR="001F68CA" w:rsidRPr="001F68CA">
        <w:rPr>
          <w:rFonts w:ascii="Times New Roman" w:hAnsi="Times New Roman" w:cs="Times New Roman"/>
        </w:rPr>
        <w:t xml:space="preserve">that </w:t>
      </w:r>
      <w:r w:rsidRPr="001D100F">
        <w:rPr>
          <w:rFonts w:ascii="Times New Roman" w:hAnsi="Times New Roman" w:cs="Times New Roman"/>
        </w:rPr>
        <w:t xml:space="preserve">the most recent NAV is naturally a lagged fundamental signal rather than a contemporaneous measure of portfolio value. The empirical design therefore asks whether BDC market returns remain sensitive to lagged NAV returns, and whether that sensitivity </w:t>
      </w:r>
      <w:r w:rsidRPr="001D100F">
        <w:rPr>
          <w:rFonts w:ascii="Times New Roman" w:hAnsi="Times New Roman" w:cs="Times New Roman"/>
        </w:rPr>
        <w:lastRenderedPageBreak/>
        <w:t>weakens when macro-financial conditions make discount rates and credit-risk premia more important.</w:t>
      </w:r>
    </w:p>
    <w:p w14:paraId="45E279D1" w14:textId="77777777" w:rsidR="001D100F" w:rsidRPr="001D100F" w:rsidRDefault="001D100F" w:rsidP="001F68CA">
      <w:pPr>
        <w:spacing w:line="360" w:lineRule="auto"/>
        <w:ind w:firstLine="720"/>
        <w:rPr>
          <w:rFonts w:ascii="Times New Roman" w:hAnsi="Times New Roman" w:cs="Times New Roman"/>
        </w:rPr>
      </w:pPr>
      <w:r w:rsidRPr="001D100F">
        <w:rPr>
          <w:rFonts w:ascii="Times New Roman" w:hAnsi="Times New Roman" w:cs="Times New Roman"/>
        </w:rPr>
        <w:t>The main identifying assumption is that lagged NAV returns capture firm-specific portfolio-value information that was most recently disclosed, while changes in Treasury yields and credit spreads capture shifts in the valuation environment faced by BDCs. The interaction terms test whether market prices rely less on lagged NAV information when the discount-rate or credit-risk environment changes. The design does not require treating interest rates or credit spreads as randomly assigned. Instead, those variables are used as theoretically motivated state variables that should affect how investors interpret NAV-based fundamentals.</w:t>
      </w:r>
    </w:p>
    <w:p w14:paraId="1C682138" w14:textId="77777777" w:rsidR="001D100F" w:rsidRPr="001D100F" w:rsidRDefault="001D100F" w:rsidP="001F68CA">
      <w:pPr>
        <w:spacing w:line="360" w:lineRule="auto"/>
        <w:ind w:firstLine="720"/>
        <w:rPr>
          <w:rFonts w:ascii="Times New Roman" w:hAnsi="Times New Roman" w:cs="Times New Roman"/>
        </w:rPr>
      </w:pPr>
      <w:r w:rsidRPr="001D100F">
        <w:rPr>
          <w:rFonts w:ascii="Times New Roman" w:hAnsi="Times New Roman" w:cs="Times New Roman"/>
        </w:rPr>
        <w:t>BDC fixed effects will control for time-invariant differences across firms, such as persistent differences in manager style, portfolio strategy, investor base, business model, or risk appetite. Additional firm-level controls will reduce the concern that the estimated NAV-return relationship is driven by observable differences in size, leverage, dividend policy, trading liquidity, or prior performance. Time controls will be handled carefully because interest rates and credit spreads vary at the market level. Full month fixed effects would absorb the direct effects of the macro variables. For that reason, the preferred baseline specification will include BDC fixed effects and macro variables directly, while robustness checks will consider alternative time controls such as year fixed effects, quarter fixed effects, or specifications focused on the interaction between macro conditions and firm-level NAV exposure.</w:t>
      </w:r>
    </w:p>
    <w:p w14:paraId="61CF1019" w14:textId="6729DF08" w:rsidR="001D100F" w:rsidRPr="001D100F" w:rsidRDefault="001D100F" w:rsidP="001F68CA">
      <w:pPr>
        <w:spacing w:line="360" w:lineRule="auto"/>
        <w:ind w:firstLine="720"/>
        <w:rPr>
          <w:rFonts w:ascii="Times New Roman" w:hAnsi="Times New Roman" w:cs="Times New Roman"/>
        </w:rPr>
      </w:pPr>
      <w:r w:rsidRPr="001D100F">
        <w:rPr>
          <w:rFonts w:ascii="Times New Roman" w:hAnsi="Times New Roman" w:cs="Times New Roman"/>
        </w:rPr>
        <w:t xml:space="preserve">The event-style analysis provides a second layer of evidence. NAV announcement dates create observable disclosure events when updated information about the BDC’s portfolio value becomes available. By examining returns from day </w:t>
      </w:r>
      <m:oMath>
        <m:r>
          <w:rPr>
            <w:rFonts w:ascii="Cambria Math" w:hAnsi="Cambria Math" w:cs="Times New Roman"/>
          </w:rPr>
          <m:t xml:space="preserve">-3 </m:t>
        </m:r>
      </m:oMath>
      <w:r w:rsidRPr="001D100F">
        <w:rPr>
          <w:rFonts w:ascii="Times New Roman" w:hAnsi="Times New Roman" w:cs="Times New Roman"/>
        </w:rPr>
        <w:t xml:space="preserve">to day </w:t>
      </w:r>
      <m:oMath>
        <m:r>
          <w:rPr>
            <w:rFonts w:ascii="Cambria Math" w:hAnsi="Cambria Math" w:cs="Times New Roman"/>
          </w:rPr>
          <m:t>+3</m:t>
        </m:r>
      </m:oMath>
      <w:r w:rsidRPr="001D100F">
        <w:rPr>
          <w:rFonts w:ascii="Times New Roman" w:hAnsi="Times New Roman" w:cs="Times New Roman"/>
        </w:rPr>
        <w:t>, the analysis captures whether valuation moves around the release of NAV information. The short-window identifying assumption is that, after excluding major confounding announcements, return movements around NAV releases are more likely to reflect the NAV information environment than unrelated firm-specific news.</w:t>
      </w:r>
    </w:p>
    <w:p w14:paraId="5FA9761B" w14:textId="61C51343" w:rsidR="001D100F" w:rsidRPr="001D100F" w:rsidRDefault="001D100F" w:rsidP="001F68CA">
      <w:pPr>
        <w:spacing w:line="360" w:lineRule="auto"/>
        <w:rPr>
          <w:rFonts w:ascii="Times New Roman" w:hAnsi="Times New Roman" w:cs="Times New Roman"/>
          <w:u w:val="single"/>
        </w:rPr>
      </w:pPr>
      <w:r w:rsidRPr="001D100F">
        <w:rPr>
          <w:rFonts w:ascii="Times New Roman" w:hAnsi="Times New Roman" w:cs="Times New Roman"/>
          <w:u w:val="single"/>
        </w:rPr>
        <w:t>Analysis Plan</w:t>
      </w:r>
    </w:p>
    <w:p w14:paraId="0324E0A6" w14:textId="42EF767F" w:rsidR="001D100F" w:rsidRPr="001D100F" w:rsidRDefault="001D100F" w:rsidP="001F68CA">
      <w:pPr>
        <w:spacing w:line="360" w:lineRule="auto"/>
        <w:ind w:firstLine="720"/>
        <w:rPr>
          <w:rFonts w:ascii="Times New Roman" w:hAnsi="Times New Roman" w:cs="Times New Roman"/>
        </w:rPr>
      </w:pPr>
      <w:r w:rsidRPr="001D100F">
        <w:rPr>
          <w:rFonts w:ascii="Times New Roman" w:hAnsi="Times New Roman" w:cs="Times New Roman"/>
        </w:rPr>
        <w:t>The analysis will begin by constructing the BDC-month panel</w:t>
      </w:r>
      <w:r w:rsidR="001F68CA" w:rsidRPr="001F68CA">
        <w:rPr>
          <w:rFonts w:ascii="Times New Roman" w:hAnsi="Times New Roman" w:cs="Times New Roman"/>
        </w:rPr>
        <w:t xml:space="preserve"> where</w:t>
      </w:r>
      <w:r w:rsidRPr="001D100F">
        <w:rPr>
          <w:rFonts w:ascii="Times New Roman" w:hAnsi="Times New Roman" w:cs="Times New Roman"/>
        </w:rPr>
        <w:t xml:space="preserve"> </w:t>
      </w:r>
      <w:r w:rsidR="001F68CA" w:rsidRPr="001F68CA">
        <w:rPr>
          <w:rFonts w:ascii="Times New Roman" w:hAnsi="Times New Roman" w:cs="Times New Roman"/>
        </w:rPr>
        <w:t>e</w:t>
      </w:r>
      <w:r w:rsidRPr="001D100F">
        <w:rPr>
          <w:rFonts w:ascii="Times New Roman" w:hAnsi="Times New Roman" w:cs="Times New Roman"/>
        </w:rPr>
        <w:t xml:space="preserve">ach BDC’s monthly CRSP market return will be matched to the most recently available quarterly NAV </w:t>
      </w:r>
      <w:r w:rsidRPr="001D100F">
        <w:rPr>
          <w:rFonts w:ascii="Times New Roman" w:hAnsi="Times New Roman" w:cs="Times New Roman"/>
        </w:rPr>
        <w:lastRenderedPageBreak/>
        <w:t xml:space="preserve">return from </w:t>
      </w:r>
      <w:proofErr w:type="spellStart"/>
      <w:r w:rsidRPr="001D100F">
        <w:rPr>
          <w:rFonts w:ascii="Times New Roman" w:hAnsi="Times New Roman" w:cs="Times New Roman"/>
        </w:rPr>
        <w:t>Compustat</w:t>
      </w:r>
      <w:proofErr w:type="spellEnd"/>
      <w:r w:rsidRPr="001D100F">
        <w:rPr>
          <w:rFonts w:ascii="Times New Roman" w:hAnsi="Times New Roman" w:cs="Times New Roman"/>
        </w:rPr>
        <w:t>, changes in the 10-year Treasury yield, changes in credit spreads from the Federal Reserve Board data on WRDS, and firm-level controls. The study will first report descriptive statistics for market returns, lagged NAV returns, Treasury-rate changes, credit-spread changes, leverage, size, dividend yield, and premium or discount to NAV. It will also report the number of observations by BDC and year to show whether the sample is balanced or unbalanced.</w:t>
      </w:r>
    </w:p>
    <w:p w14:paraId="38CAF6EE" w14:textId="77777777" w:rsidR="001D100F" w:rsidRPr="001D100F" w:rsidRDefault="001D100F" w:rsidP="001F68CA">
      <w:pPr>
        <w:spacing w:line="360" w:lineRule="auto"/>
        <w:rPr>
          <w:rFonts w:ascii="Times New Roman" w:hAnsi="Times New Roman" w:cs="Times New Roman"/>
        </w:rPr>
      </w:pPr>
      <w:r w:rsidRPr="001D100F">
        <w:rPr>
          <w:rFonts w:ascii="Times New Roman" w:hAnsi="Times New Roman" w:cs="Times New Roman"/>
        </w:rPr>
        <w:t>The first empirical test will estimate the baseline relationship between BDC market returns and lagged NAV returns:</w:t>
      </w:r>
    </w:p>
    <w:p w14:paraId="0606AC26" w14:textId="4906F12A" w:rsidR="001F68CA" w:rsidRPr="001F68CA" w:rsidRDefault="00000000" w:rsidP="001F68CA">
      <w:pPr>
        <w:spacing w:line="360" w:lineRule="auto"/>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i,t</m:t>
              </m:r>
            </m:sub>
            <m:sup>
              <m:r>
                <w:rPr>
                  <w:rFonts w:ascii="Cambria Math" w:hAnsi="Cambria Math" w:cs="Times New Roman"/>
                </w:rPr>
                <m:t>MKT</m:t>
              </m:r>
            </m:sup>
          </m:sSubSup>
          <m:r>
            <w:rPr>
              <w:rFonts w:ascii="Cambria Math" w:hAnsi="Cambria Math" w:cs="Times New Roman"/>
            </w:rPr>
            <m:t>=α+</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i,t-1</m:t>
              </m:r>
            </m:sub>
            <m:sup>
              <m:r>
                <w:rPr>
                  <w:rFonts w:ascii="Cambria Math" w:hAnsi="Cambria Math" w:cs="Times New Roman"/>
                </w:rPr>
                <m:t>NAV</m:t>
              </m:r>
            </m:sup>
          </m:sSubSup>
          <m:r>
            <w:rPr>
              <w:rFonts w:ascii="Cambria Math" w:hAnsi="Cambria Math" w:cs="Times New Roman"/>
            </w:rPr>
            <m:t>+γ</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i,t</m:t>
              </m:r>
            </m:sub>
          </m:sSub>
          <m:r>
            <m:rPr>
              <m:sty m:val="p"/>
            </m:rPr>
            <w:rPr>
              <w:rFonts w:ascii="Times New Roman" w:hAnsi="Times New Roman" w:cs="Times New Roman"/>
            </w:rPr>
            <w:br/>
          </m:r>
        </m:oMath>
      </m:oMathPara>
      <w:r w:rsidR="001D100F" w:rsidRPr="001D100F">
        <w:rPr>
          <w:rFonts w:ascii="Times New Roman" w:hAnsi="Times New Roman" w:cs="Times New Roman"/>
        </w:rPr>
        <w:t xml:space="preserve">This test examines whether lagged NAV returns explain BDC market returns before the relationship is allowed to vary with macro-financial conditions. A positive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oMath>
      <w:r w:rsidR="001D100F" w:rsidRPr="001D100F">
        <w:rPr>
          <w:rFonts w:ascii="Times New Roman" w:hAnsi="Times New Roman" w:cs="Times New Roman"/>
        </w:rPr>
        <w:t xml:space="preserve">would indicate that stronger NAV-based performance is associated with stronger market returns. A weak or insignificant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oMath>
      <w:r w:rsidR="001D100F" w:rsidRPr="001D100F">
        <w:rPr>
          <w:rFonts w:ascii="Times New Roman" w:hAnsi="Times New Roman" w:cs="Times New Roman"/>
        </w:rPr>
        <w:t>would suggest that, on average, market returns are not closely tied to the last reported NAV signal.</w:t>
      </w:r>
      <w:r w:rsidR="001F68CA" w:rsidRPr="001F68CA">
        <w:rPr>
          <w:rFonts w:ascii="Times New Roman" w:hAnsi="Times New Roman" w:cs="Times New Roman"/>
        </w:rPr>
        <w:t xml:space="preserve"> </w:t>
      </w:r>
    </w:p>
    <w:p w14:paraId="4B81AD7B" w14:textId="0DC88CB6" w:rsidR="001D100F" w:rsidRPr="001D100F" w:rsidRDefault="001D100F" w:rsidP="001F68CA">
      <w:pPr>
        <w:spacing w:line="360" w:lineRule="auto"/>
        <w:ind w:firstLine="720"/>
        <w:rPr>
          <w:rFonts w:ascii="Times New Roman" w:hAnsi="Times New Roman" w:cs="Times New Roman"/>
        </w:rPr>
      </w:pPr>
      <w:r w:rsidRPr="001D100F">
        <w:rPr>
          <w:rFonts w:ascii="Times New Roman" w:hAnsi="Times New Roman" w:cs="Times New Roman"/>
        </w:rPr>
        <w:t xml:space="preserve">The next tests introduce the macro-financial channels that correspond to the hypotheses. The interest-rate specification adds </w:t>
      </w:r>
      <m:oMath>
        <m:r>
          <m:rPr>
            <m:sty m:val="p"/>
          </m:rPr>
          <w:rPr>
            <w:rFonts w:ascii="Cambria Math" w:hAnsi="Cambria Math" w:cs="Times New Roman"/>
          </w:rPr>
          <m:t>Δ</m:t>
        </m:r>
        <m:r>
          <w:rPr>
            <w:rFonts w:ascii="Cambria Math" w:hAnsi="Cambria Math" w:cs="Times New Roman"/>
          </w:rPr>
          <m:t>DGS</m:t>
        </m:r>
        <m:sSub>
          <m:sSubPr>
            <m:ctrlPr>
              <w:rPr>
                <w:rFonts w:ascii="Cambria Math" w:hAnsi="Cambria Math" w:cs="Times New Roman"/>
              </w:rPr>
            </m:ctrlPr>
          </m:sSubPr>
          <m:e>
            <m:r>
              <w:rPr>
                <w:rFonts w:ascii="Cambria Math" w:hAnsi="Cambria Math" w:cs="Times New Roman"/>
              </w:rPr>
              <m:t>10</m:t>
            </m:r>
          </m:e>
          <m:sub>
            <m:r>
              <w:rPr>
                <w:rFonts w:ascii="Cambria Math" w:hAnsi="Cambria Math" w:cs="Times New Roman"/>
              </w:rPr>
              <m:t>t</m:t>
            </m:r>
          </m:sub>
        </m:sSub>
      </m:oMath>
      <w:r w:rsidRPr="001D100F">
        <w:rPr>
          <w:rFonts w:ascii="Times New Roman" w:hAnsi="Times New Roman" w:cs="Times New Roman"/>
        </w:rPr>
        <w:t xml:space="preserve">and the interaction between lagged NAV returns and Treasury-rate changes. The key coefficient is the interaction coefficient on </w:t>
      </w:r>
      <m:oMath>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i,t-1</m:t>
            </m:r>
          </m:sub>
          <m:sup>
            <m:r>
              <w:rPr>
                <w:rFonts w:ascii="Cambria Math" w:hAnsi="Cambria Math" w:cs="Times New Roman"/>
              </w:rPr>
              <m:t>NAV</m:t>
            </m:r>
          </m:sup>
        </m:sSubSup>
        <m:r>
          <w:rPr>
            <w:rFonts w:ascii="Cambria Math" w:hAnsi="Cambria Math" w:cs="Times New Roman"/>
          </w:rPr>
          <m:t>×</m:t>
        </m:r>
        <m:r>
          <m:rPr>
            <m:sty m:val="p"/>
          </m:rPr>
          <w:rPr>
            <w:rFonts w:ascii="Cambria Math" w:hAnsi="Cambria Math" w:cs="Times New Roman"/>
          </w:rPr>
          <m:t>Δ</m:t>
        </m:r>
        <m:r>
          <w:rPr>
            <w:rFonts w:ascii="Cambria Math" w:hAnsi="Cambria Math" w:cs="Times New Roman"/>
          </w:rPr>
          <m:t>DGS</m:t>
        </m:r>
        <m:sSub>
          <m:sSubPr>
            <m:ctrlPr>
              <w:rPr>
                <w:rFonts w:ascii="Cambria Math" w:hAnsi="Cambria Math" w:cs="Times New Roman"/>
              </w:rPr>
            </m:ctrlPr>
          </m:sSubPr>
          <m:e>
            <m:r>
              <w:rPr>
                <w:rFonts w:ascii="Cambria Math" w:hAnsi="Cambria Math" w:cs="Times New Roman"/>
              </w:rPr>
              <m:t>10</m:t>
            </m:r>
          </m:e>
          <m:sub>
            <m:r>
              <w:rPr>
                <w:rFonts w:ascii="Cambria Math" w:hAnsi="Cambria Math" w:cs="Times New Roman"/>
              </w:rPr>
              <m:t>t</m:t>
            </m:r>
          </m:sub>
        </m:sSub>
      </m:oMath>
      <w:r w:rsidRPr="001D100F">
        <w:rPr>
          <w:rFonts w:ascii="Times New Roman" w:hAnsi="Times New Roman" w:cs="Times New Roman"/>
        </w:rPr>
        <w:t>. A negative coefficient would support the prediction that the sensitivity of market returns to lagged NAV returns decreases when interest rates rise.</w:t>
      </w:r>
      <w:r w:rsidR="001F68CA" w:rsidRPr="001F68CA">
        <w:rPr>
          <w:rFonts w:ascii="Times New Roman" w:hAnsi="Times New Roman" w:cs="Times New Roman"/>
        </w:rPr>
        <w:t xml:space="preserve"> </w:t>
      </w:r>
      <w:r w:rsidRPr="001D100F">
        <w:rPr>
          <w:rFonts w:ascii="Times New Roman" w:hAnsi="Times New Roman" w:cs="Times New Roman"/>
        </w:rPr>
        <w:t xml:space="preserve">The credit-spread specification adds </w:t>
      </w:r>
      <m:oMath>
        <m:r>
          <m:rPr>
            <m:sty m:val="p"/>
          </m:rPr>
          <w:rPr>
            <w:rFonts w:ascii="Cambria Math" w:hAnsi="Cambria Math" w:cs="Times New Roman"/>
          </w:rPr>
          <m:t>Δ</m:t>
        </m:r>
        <m:r>
          <w:rPr>
            <w:rFonts w:ascii="Cambria Math" w:hAnsi="Cambria Math" w:cs="Times New Roman"/>
          </w:rPr>
          <m:t>Sprea</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oMath>
      <w:r w:rsidRPr="001D100F">
        <w:rPr>
          <w:rFonts w:ascii="Times New Roman" w:hAnsi="Times New Roman" w:cs="Times New Roman"/>
        </w:rPr>
        <w:t xml:space="preserve">and the interaction between lagged NAV returns and credit-spread changes. The key coefficient is the interaction coefficient on </w:t>
      </w:r>
      <m:oMath>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i,t-1</m:t>
            </m:r>
          </m:sub>
          <m:sup>
            <m:r>
              <w:rPr>
                <w:rFonts w:ascii="Cambria Math" w:hAnsi="Cambria Math" w:cs="Times New Roman"/>
              </w:rPr>
              <m:t>NAV</m:t>
            </m:r>
          </m:sup>
        </m:sSubSup>
        <m:r>
          <w:rPr>
            <w:rFonts w:ascii="Cambria Math" w:hAnsi="Cambria Math" w:cs="Times New Roman"/>
          </w:rPr>
          <m:t>×</m:t>
        </m:r>
        <m:r>
          <m:rPr>
            <m:sty m:val="p"/>
          </m:rPr>
          <w:rPr>
            <w:rFonts w:ascii="Cambria Math" w:hAnsi="Cambria Math" w:cs="Times New Roman"/>
          </w:rPr>
          <m:t>Δ</m:t>
        </m:r>
        <m:r>
          <w:rPr>
            <w:rFonts w:ascii="Cambria Math" w:hAnsi="Cambria Math" w:cs="Times New Roman"/>
          </w:rPr>
          <m:t>Sprea</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oMath>
      <w:r w:rsidRPr="001D100F">
        <w:rPr>
          <w:rFonts w:ascii="Times New Roman" w:hAnsi="Times New Roman" w:cs="Times New Roman"/>
        </w:rPr>
        <w:t>. A negative coefficient would support the prediction that lagged NAV becomes less informative for market returns when credit spreads widen.</w:t>
      </w:r>
      <w:r w:rsidR="001F68CA" w:rsidRPr="001F68CA">
        <w:rPr>
          <w:rFonts w:ascii="Times New Roman" w:hAnsi="Times New Roman" w:cs="Times New Roman"/>
        </w:rPr>
        <w:t xml:space="preserve"> </w:t>
      </w:r>
      <w:r w:rsidRPr="001D100F">
        <w:rPr>
          <w:rFonts w:ascii="Times New Roman" w:hAnsi="Times New Roman" w:cs="Times New Roman"/>
        </w:rPr>
        <w:t>The full model will then include both channels at the same time:</w:t>
      </w:r>
    </w:p>
    <w:p w14:paraId="33057FDC" w14:textId="61CACCE6" w:rsidR="001D100F" w:rsidRPr="001D100F" w:rsidRDefault="00000000" w:rsidP="001F68CA">
      <w:pPr>
        <w:spacing w:line="360" w:lineRule="auto"/>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i,t</m:t>
              </m:r>
            </m:sub>
            <m:sup>
              <m:r>
                <w:rPr>
                  <w:rFonts w:ascii="Cambria Math" w:hAnsi="Cambria Math" w:cs="Times New Roman"/>
                </w:rPr>
                <m:t>MKT</m:t>
              </m:r>
            </m:sup>
          </m:sSubSup>
          <m:r>
            <w:rPr>
              <w:rFonts w:ascii="Cambria Math" w:hAnsi="Cambria Math" w:cs="Times New Roman"/>
            </w:rPr>
            <m:t>=α+</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i,t-1</m:t>
              </m:r>
            </m:sub>
            <m:sup>
              <m:r>
                <w:rPr>
                  <w:rFonts w:ascii="Cambria Math" w:hAnsi="Cambria Math" w:cs="Times New Roman"/>
                </w:rPr>
                <m:t>NAV</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r>
            <m:rPr>
              <m:sty m:val="p"/>
            </m:rPr>
            <w:rPr>
              <w:rFonts w:ascii="Cambria Math" w:hAnsi="Cambria Math" w:cs="Times New Roman"/>
            </w:rPr>
            <m:t>Δ</m:t>
          </m:r>
          <m:r>
            <w:rPr>
              <w:rFonts w:ascii="Cambria Math" w:hAnsi="Cambria Math" w:cs="Times New Roman"/>
            </w:rPr>
            <m:t>DGS</m:t>
          </m:r>
          <m:sSub>
            <m:sSubPr>
              <m:ctrlPr>
                <w:rPr>
                  <w:rFonts w:ascii="Cambria Math" w:hAnsi="Cambria Math" w:cs="Times New Roman"/>
                </w:rPr>
              </m:ctrlPr>
            </m:sSubPr>
            <m:e>
              <m:r>
                <w:rPr>
                  <w:rFonts w:ascii="Cambria Math" w:hAnsi="Cambria Math" w:cs="Times New Roman"/>
                </w:rPr>
                <m:t>10</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3</m:t>
              </m:r>
            </m:sub>
          </m:sSub>
          <m:r>
            <m:rPr>
              <m:sty m:val="p"/>
            </m:rPr>
            <w:rPr>
              <w:rFonts w:ascii="Cambria Math" w:hAnsi="Cambria Math" w:cs="Times New Roman"/>
            </w:rPr>
            <m:t>Δ</m:t>
          </m:r>
          <m:r>
            <w:rPr>
              <w:rFonts w:ascii="Cambria Math" w:hAnsi="Cambria Math" w:cs="Times New Roman"/>
            </w:rPr>
            <m:t>Sprea</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4</m:t>
              </m:r>
            </m:sub>
          </m:sSub>
          <m:d>
            <m:dPr>
              <m:sep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i,t-1</m:t>
                  </m:r>
                </m:sub>
                <m:sup>
                  <m:r>
                    <w:rPr>
                      <w:rFonts w:ascii="Cambria Math" w:hAnsi="Cambria Math" w:cs="Times New Roman"/>
                    </w:rPr>
                    <m:t>NAV</m:t>
                  </m:r>
                </m:sup>
              </m:sSubSup>
            </m:e>
            <m:e>
              <m:r>
                <m:rPr>
                  <m:sty m:val="p"/>
                </m:rPr>
                <w:rPr>
                  <w:rFonts w:ascii="Cambria Math" w:hAnsi="Cambria Math" w:cs="Times New Roman"/>
                </w:rPr>
                <m:t>Δ</m:t>
              </m:r>
              <m:r>
                <w:rPr>
                  <w:rFonts w:ascii="Cambria Math" w:hAnsi="Cambria Math" w:cs="Times New Roman"/>
                </w:rPr>
                <m:t>DGS</m:t>
              </m:r>
              <m:sSub>
                <m:sSubPr>
                  <m:ctrlPr>
                    <w:rPr>
                      <w:rFonts w:ascii="Cambria Math" w:hAnsi="Cambria Math" w:cs="Times New Roman"/>
                    </w:rPr>
                  </m:ctrlPr>
                </m:sSubPr>
                <m:e>
                  <m:r>
                    <w:rPr>
                      <w:rFonts w:ascii="Cambria Math" w:hAnsi="Cambria Math" w:cs="Times New Roman"/>
                    </w:rPr>
                    <m:t>10</m:t>
                  </m:r>
                </m:e>
                <m:sub>
                  <m:r>
                    <w:rPr>
                      <w:rFonts w:ascii="Cambria Math" w:hAnsi="Cambria Math" w:cs="Times New Roman"/>
                    </w:rPr>
                    <m:t>t</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5</m:t>
              </m:r>
            </m:sub>
          </m:sSub>
          <m:d>
            <m:dPr>
              <m:sep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i,t-1</m:t>
                  </m:r>
                </m:sub>
                <m:sup>
                  <m:r>
                    <w:rPr>
                      <w:rFonts w:ascii="Cambria Math" w:hAnsi="Cambria Math" w:cs="Times New Roman"/>
                    </w:rPr>
                    <m:t>NAV</m:t>
                  </m:r>
                </m:sup>
              </m:sSubSup>
            </m:e>
            <m:e>
              <m:r>
                <m:rPr>
                  <m:sty m:val="p"/>
                </m:rPr>
                <w:rPr>
                  <w:rFonts w:ascii="Cambria Math" w:hAnsi="Cambria Math" w:cs="Times New Roman"/>
                </w:rPr>
                <m:t>Δ</m:t>
              </m:r>
              <m:r>
                <w:rPr>
                  <w:rFonts w:ascii="Cambria Math" w:hAnsi="Cambria Math" w:cs="Times New Roman"/>
                </w:rPr>
                <m:t>Sprea</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e>
          </m:d>
          <m:r>
            <w:rPr>
              <w:rFonts w:ascii="Cambria Math" w:hAnsi="Cambria Math" w:cs="Times New Roman"/>
            </w:rPr>
            <m:t>+γ</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i,t</m:t>
              </m:r>
            </m:sub>
          </m:sSub>
          <m:r>
            <m:rPr>
              <m:sty m:val="p"/>
            </m:rPr>
            <w:rPr>
              <w:rFonts w:ascii="Times New Roman" w:hAnsi="Times New Roman" w:cs="Times New Roman"/>
            </w:rPr>
            <w:br/>
          </m:r>
        </m:oMath>
      </m:oMathPara>
      <w:r w:rsidR="001D100F" w:rsidRPr="001D100F">
        <w:rPr>
          <w:rFonts w:ascii="Times New Roman" w:hAnsi="Times New Roman" w:cs="Times New Roman"/>
        </w:rPr>
        <w:t xml:space="preserve">This model allows the analysis to examine whether the state-dependent NAV effect is more closely tied to discount-rate changes, credit-risk premia, or both. This distinction matters because Treasury yields and credit spreads may move together during stressed periods, but they represent </w:t>
      </w:r>
      <w:r w:rsidR="001D100F" w:rsidRPr="001D100F">
        <w:rPr>
          <w:rFonts w:ascii="Times New Roman" w:hAnsi="Times New Roman" w:cs="Times New Roman"/>
        </w:rPr>
        <w:lastRenderedPageBreak/>
        <w:t>different valuation forces. Treasury yields capture changes in discount rates, while credit spreads capture changes in required compensation for credit risk.</w:t>
      </w:r>
    </w:p>
    <w:p w14:paraId="7506F821" w14:textId="4D4713B4" w:rsidR="001D100F" w:rsidRPr="001D100F" w:rsidRDefault="001D100F" w:rsidP="001F68CA">
      <w:pPr>
        <w:spacing w:line="360" w:lineRule="auto"/>
        <w:ind w:firstLine="720"/>
        <w:rPr>
          <w:rFonts w:ascii="Times New Roman" w:hAnsi="Times New Roman" w:cs="Times New Roman"/>
        </w:rPr>
      </w:pPr>
      <w:r w:rsidRPr="001D100F">
        <w:rPr>
          <w:rFonts w:ascii="Times New Roman" w:hAnsi="Times New Roman" w:cs="Times New Roman"/>
        </w:rPr>
        <w:t>The final hypothesis concerns valuation uncertainty</w:t>
      </w:r>
      <w:r w:rsidR="001F68CA" w:rsidRPr="001F68CA">
        <w:rPr>
          <w:rFonts w:ascii="Times New Roman" w:hAnsi="Times New Roman" w:cs="Times New Roman"/>
        </w:rPr>
        <w:t xml:space="preserve">, which is the belief that </w:t>
      </w:r>
      <w:r w:rsidRPr="001D100F">
        <w:rPr>
          <w:rFonts w:ascii="Times New Roman" w:hAnsi="Times New Roman" w:cs="Times New Roman"/>
        </w:rPr>
        <w:t>BDCs with greater valuation uncertainty should experience a stronger weakening of the relationship between lagged NAV returns and market returns when interest rates rise or credit spreads widen. Valuation uncertainty can be proxied in several ways depending on data availability. Candidate measures include the absolute premium or discount to NAV, the volatility of the premium or discount to NAV, the share of harder-to-value assets, portfolio concentration, industry specialization, trading illiquidity, or the share of non-senior debt and equity investments. These proxies follow the idea that some BDC portfolios are harder for public investors to interpret than others.</w:t>
      </w:r>
    </w:p>
    <w:p w14:paraId="276A08B2" w14:textId="77777777" w:rsidR="001D100F" w:rsidRPr="001D100F" w:rsidRDefault="001D100F" w:rsidP="001F68CA">
      <w:pPr>
        <w:spacing w:line="360" w:lineRule="auto"/>
        <w:rPr>
          <w:rFonts w:ascii="Times New Roman" w:hAnsi="Times New Roman" w:cs="Times New Roman"/>
        </w:rPr>
      </w:pPr>
      <w:r w:rsidRPr="001D100F">
        <w:rPr>
          <w:rFonts w:ascii="Times New Roman" w:hAnsi="Times New Roman" w:cs="Times New Roman"/>
        </w:rPr>
        <w:t>The valuation-uncertainty test will use an interaction structure of the following form:</w:t>
      </w:r>
    </w:p>
    <w:p w14:paraId="29DC4E23" w14:textId="3ACBB00A" w:rsidR="001D100F" w:rsidRPr="001D100F" w:rsidRDefault="00000000" w:rsidP="001F68CA">
      <w:pPr>
        <w:spacing w:line="360" w:lineRule="auto"/>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i,t</m:t>
              </m:r>
            </m:sub>
            <m:sup>
              <m:r>
                <w:rPr>
                  <w:rFonts w:ascii="Cambria Math" w:hAnsi="Cambria Math" w:cs="Times New Roman"/>
                </w:rPr>
                <m:t>MKT</m:t>
              </m:r>
            </m:sup>
          </m:sSubSup>
          <m:r>
            <w:rPr>
              <w:rFonts w:ascii="Cambria Math" w:hAnsi="Cambria Math" w:cs="Times New Roman"/>
            </w:rPr>
            <m:t>=α+</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i,t-1</m:t>
              </m:r>
            </m:sub>
            <m:sup>
              <m:r>
                <w:rPr>
                  <w:rFonts w:ascii="Cambria Math" w:hAnsi="Cambria Math" w:cs="Times New Roman"/>
                </w:rPr>
                <m:t>NAV</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r>
            <w:rPr>
              <w:rFonts w:ascii="Cambria Math" w:hAnsi="Cambria Math" w:cs="Times New Roman"/>
            </w:rPr>
            <m:t>Macr</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3</m:t>
              </m:r>
            </m:sub>
          </m:sSub>
          <m:r>
            <w:rPr>
              <w:rFonts w:ascii="Cambria Math" w:hAnsi="Cambria Math" w:cs="Times New Roman"/>
            </w:rPr>
            <m:t>V</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4</m:t>
              </m:r>
            </m:sub>
          </m:sSub>
          <m:d>
            <m:dPr>
              <m:sep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i,t-1</m:t>
                  </m:r>
                </m:sub>
                <m:sup>
                  <m:r>
                    <w:rPr>
                      <w:rFonts w:ascii="Cambria Math" w:hAnsi="Cambria Math" w:cs="Times New Roman"/>
                    </w:rPr>
                    <m:t>NAV</m:t>
                  </m:r>
                </m:sup>
              </m:sSubSup>
            </m:e>
            <m:e>
              <m:r>
                <w:rPr>
                  <w:rFonts w:ascii="Cambria Math" w:hAnsi="Cambria Math" w:cs="Times New Roman"/>
                </w:rPr>
                <m:t>Macr</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5</m:t>
              </m:r>
            </m:sub>
          </m:sSub>
          <m:d>
            <m:dPr>
              <m:sep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i,t-1</m:t>
                  </m:r>
                </m:sub>
                <m:sup>
                  <m:r>
                    <w:rPr>
                      <w:rFonts w:ascii="Cambria Math" w:hAnsi="Cambria Math" w:cs="Times New Roman"/>
                    </w:rPr>
                    <m:t>NAV</m:t>
                  </m:r>
                </m:sup>
              </m:sSubSup>
            </m:e>
            <m:e>
              <m:r>
                <w:rPr>
                  <w:rFonts w:ascii="Cambria Math" w:hAnsi="Cambria Math" w:cs="Times New Roman"/>
                </w:rPr>
                <m:t>Macr</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e>
            <m:e>
              <m:r>
                <w:rPr>
                  <w:rFonts w:ascii="Cambria Math" w:hAnsi="Cambria Math" w:cs="Times New Roman"/>
                </w:rPr>
                <m:t>V</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i,t</m:t>
                  </m:r>
                </m:sub>
              </m:sSub>
            </m:e>
          </m:d>
          <m:r>
            <w:rPr>
              <w:rFonts w:ascii="Cambria Math" w:hAnsi="Cambria Math" w:cs="Times New Roman"/>
            </w:rPr>
            <m:t>+γ</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i,t</m:t>
              </m:r>
            </m:sub>
          </m:sSub>
        </m:oMath>
      </m:oMathPara>
    </w:p>
    <w:p w14:paraId="03AE5468" w14:textId="29125933" w:rsidR="001D100F" w:rsidRPr="001D100F" w:rsidRDefault="001D100F" w:rsidP="001F68CA">
      <w:pPr>
        <w:spacing w:line="360" w:lineRule="auto"/>
        <w:rPr>
          <w:rFonts w:ascii="Times New Roman" w:hAnsi="Times New Roman" w:cs="Times New Roman"/>
        </w:rPr>
      </w:pPr>
      <w:r w:rsidRPr="001D100F">
        <w:rPr>
          <w:rFonts w:ascii="Times New Roman" w:hAnsi="Times New Roman" w:cs="Times New Roman"/>
        </w:rPr>
        <w:t xml:space="preserve">Here, </w:t>
      </w:r>
      <m:oMath>
        <m:r>
          <w:rPr>
            <w:rFonts w:ascii="Cambria Math" w:hAnsi="Cambria Math" w:cs="Times New Roman"/>
          </w:rPr>
          <m:t>Macr</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oMath>
      <w:r w:rsidRPr="001D100F">
        <w:rPr>
          <w:rFonts w:ascii="Times New Roman" w:hAnsi="Times New Roman" w:cs="Times New Roman"/>
        </w:rPr>
        <w:t xml:space="preserve">will be measured either as </w:t>
      </w:r>
      <m:oMath>
        <m:r>
          <m:rPr>
            <m:sty m:val="p"/>
          </m:rPr>
          <w:rPr>
            <w:rFonts w:ascii="Cambria Math" w:hAnsi="Cambria Math" w:cs="Times New Roman"/>
          </w:rPr>
          <m:t>Δ</m:t>
        </m:r>
        <m:r>
          <w:rPr>
            <w:rFonts w:ascii="Cambria Math" w:hAnsi="Cambria Math" w:cs="Times New Roman"/>
          </w:rPr>
          <m:t>DGS</m:t>
        </m:r>
        <m:sSub>
          <m:sSubPr>
            <m:ctrlPr>
              <w:rPr>
                <w:rFonts w:ascii="Cambria Math" w:hAnsi="Cambria Math" w:cs="Times New Roman"/>
              </w:rPr>
            </m:ctrlPr>
          </m:sSubPr>
          <m:e>
            <m:r>
              <w:rPr>
                <w:rFonts w:ascii="Cambria Math" w:hAnsi="Cambria Math" w:cs="Times New Roman"/>
              </w:rPr>
              <m:t>10</m:t>
            </m:r>
          </m:e>
          <m:sub>
            <m:r>
              <w:rPr>
                <w:rFonts w:ascii="Cambria Math" w:hAnsi="Cambria Math" w:cs="Times New Roman"/>
              </w:rPr>
              <m:t>t</m:t>
            </m:r>
          </m:sub>
        </m:sSub>
      </m:oMath>
      <w:r w:rsidRPr="001D100F">
        <w:rPr>
          <w:rFonts w:ascii="Times New Roman" w:hAnsi="Times New Roman" w:cs="Times New Roman"/>
        </w:rPr>
        <w:t xml:space="preserve">or </w:t>
      </w:r>
      <m:oMath>
        <m:r>
          <m:rPr>
            <m:sty m:val="p"/>
          </m:rPr>
          <w:rPr>
            <w:rFonts w:ascii="Cambria Math" w:hAnsi="Cambria Math" w:cs="Times New Roman"/>
          </w:rPr>
          <m:t>Δ</m:t>
        </m:r>
        <m:r>
          <w:rPr>
            <w:rFonts w:ascii="Cambria Math" w:hAnsi="Cambria Math" w:cs="Times New Roman"/>
          </w:rPr>
          <m:t>Sprea</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oMath>
      <w:r w:rsidRPr="001D100F">
        <w:rPr>
          <w:rFonts w:ascii="Times New Roman" w:hAnsi="Times New Roman" w:cs="Times New Roman"/>
        </w:rPr>
        <w:t xml:space="preserve">, and </w:t>
      </w:r>
      <m:oMath>
        <m:r>
          <w:rPr>
            <w:rFonts w:ascii="Cambria Math" w:hAnsi="Cambria Math" w:cs="Times New Roman"/>
          </w:rPr>
          <m:t>V</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i,t</m:t>
            </m:r>
          </m:sub>
        </m:sSub>
      </m:oMath>
      <w:r w:rsidRPr="001D100F">
        <w:rPr>
          <w:rFonts w:ascii="Times New Roman" w:hAnsi="Times New Roman" w:cs="Times New Roman"/>
        </w:rPr>
        <w:t xml:space="preserve">represents the valuation uncertainty proxy. The coefficient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5</m:t>
            </m:r>
          </m:sub>
        </m:sSub>
      </m:oMath>
      <w:r w:rsidRPr="001D100F">
        <w:rPr>
          <w:rFonts w:ascii="Times New Roman" w:hAnsi="Times New Roman" w:cs="Times New Roman"/>
        </w:rPr>
        <w:t xml:space="preserve">is the key test for H3. A negative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5</m:t>
            </m:r>
          </m:sub>
        </m:sSub>
      </m:oMath>
      <w:r w:rsidRPr="001D100F">
        <w:rPr>
          <w:rFonts w:ascii="Times New Roman" w:hAnsi="Times New Roman" w:cs="Times New Roman"/>
        </w:rPr>
        <w:t>would support the prediction that the weakening effect of macro-financial conditions is stronger for BDCs with greater valuation uncertainty.</w:t>
      </w:r>
    </w:p>
    <w:p w14:paraId="51E8DC64" w14:textId="6B4B9B86" w:rsidR="001D100F" w:rsidRPr="001D100F" w:rsidRDefault="001D100F" w:rsidP="001F68CA">
      <w:pPr>
        <w:spacing w:line="360" w:lineRule="auto"/>
        <w:ind w:firstLine="720"/>
        <w:rPr>
          <w:rFonts w:ascii="Times New Roman" w:hAnsi="Times New Roman" w:cs="Times New Roman"/>
        </w:rPr>
      </w:pPr>
      <w:r w:rsidRPr="001D100F">
        <w:rPr>
          <w:rFonts w:ascii="Times New Roman" w:hAnsi="Times New Roman" w:cs="Times New Roman"/>
        </w:rPr>
        <w:t xml:space="preserve">The event-style analysis will be conducted after the monthly panel tests. For each NAV announcement, the study will calculate event returns and cumulative abnormal returns over the </w:t>
      </w:r>
      <m:oMath>
        <m:d>
          <m:dPr>
            <m:begChr m:val="["/>
            <m:endChr m:val="]"/>
            <m:ctrlPr>
              <w:rPr>
                <w:rFonts w:ascii="Cambria Math" w:hAnsi="Cambria Math" w:cs="Times New Roman"/>
              </w:rPr>
            </m:ctrlPr>
          </m:dPr>
          <m:e>
            <m:r>
              <w:rPr>
                <w:rFonts w:ascii="Cambria Math" w:hAnsi="Cambria Math" w:cs="Times New Roman"/>
              </w:rPr>
              <m:t>-3,+3</m:t>
            </m:r>
          </m:e>
        </m:d>
      </m:oMath>
      <w:r w:rsidR="001F68CA">
        <w:rPr>
          <w:rFonts w:ascii="Times New Roman" w:eastAsiaTheme="minorEastAsia" w:hAnsi="Times New Roman" w:cs="Times New Roman"/>
        </w:rPr>
        <w:t xml:space="preserve"> </w:t>
      </w:r>
      <w:r w:rsidRPr="001D100F">
        <w:rPr>
          <w:rFonts w:ascii="Times New Roman" w:hAnsi="Times New Roman" w:cs="Times New Roman"/>
        </w:rPr>
        <w:t xml:space="preserve">window. The first test will examine whether the average </w:t>
      </w:r>
      <m:oMath>
        <m:r>
          <w:rPr>
            <w:rFonts w:ascii="Cambria Math" w:hAnsi="Cambria Math" w:cs="Times New Roman"/>
          </w:rPr>
          <m:t>CA</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i,q</m:t>
            </m:r>
          </m:sub>
          <m:sup>
            <m:d>
              <m:dPr>
                <m:begChr m:val="["/>
                <m:endChr m:val="]"/>
                <m:ctrlPr>
                  <w:rPr>
                    <w:rFonts w:ascii="Cambria Math" w:hAnsi="Cambria Math" w:cs="Times New Roman"/>
                  </w:rPr>
                </m:ctrlPr>
              </m:dPr>
              <m:e>
                <m:r>
                  <w:rPr>
                    <w:rFonts w:ascii="Cambria Math" w:hAnsi="Cambria Math" w:cs="Times New Roman"/>
                  </w:rPr>
                  <m:t>-3,+3</m:t>
                </m:r>
              </m:e>
            </m:d>
          </m:sup>
        </m:sSubSup>
      </m:oMath>
      <w:r w:rsidRPr="001D100F">
        <w:rPr>
          <w:rFonts w:ascii="Times New Roman" w:hAnsi="Times New Roman" w:cs="Times New Roman"/>
        </w:rPr>
        <w:t xml:space="preserve">differs from zero. The second test will regress </w:t>
      </w:r>
      <m:oMath>
        <m:r>
          <w:rPr>
            <w:rFonts w:ascii="Cambria Math" w:hAnsi="Cambria Math" w:cs="Times New Roman"/>
          </w:rPr>
          <m:t>CA</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i,q</m:t>
            </m:r>
          </m:sub>
          <m:sup>
            <m:d>
              <m:dPr>
                <m:begChr m:val="["/>
                <m:endChr m:val="]"/>
                <m:ctrlPr>
                  <w:rPr>
                    <w:rFonts w:ascii="Cambria Math" w:hAnsi="Cambria Math" w:cs="Times New Roman"/>
                  </w:rPr>
                </m:ctrlPr>
              </m:dPr>
              <m:e>
                <m:r>
                  <w:rPr>
                    <w:rFonts w:ascii="Cambria Math" w:hAnsi="Cambria Math" w:cs="Times New Roman"/>
                  </w:rPr>
                  <m:t>-3,+3</m:t>
                </m:r>
              </m:e>
            </m:d>
          </m:sup>
        </m:sSubSup>
      </m:oMath>
      <w:r w:rsidRPr="001D100F">
        <w:rPr>
          <w:rFonts w:ascii="Times New Roman" w:hAnsi="Times New Roman" w:cs="Times New Roman"/>
        </w:rPr>
        <w:t>on NAV changes, interest-rate changes, credit-spread changes, and the same interaction logic used in the monthly model. This provides a complementary view of whether valuation changes around the release of NAV information and whether that reaction depends on rates, spreads, and valuation uncertainty.</w:t>
      </w:r>
    </w:p>
    <w:p w14:paraId="6D5BD486" w14:textId="77777777" w:rsidR="001D100F" w:rsidRPr="001D100F" w:rsidRDefault="001D100F" w:rsidP="001F68CA">
      <w:pPr>
        <w:spacing w:line="360" w:lineRule="auto"/>
        <w:rPr>
          <w:rFonts w:ascii="Times New Roman" w:hAnsi="Times New Roman" w:cs="Times New Roman"/>
          <w:u w:val="single"/>
        </w:rPr>
      </w:pPr>
      <w:r w:rsidRPr="001D100F">
        <w:rPr>
          <w:rFonts w:ascii="Times New Roman" w:hAnsi="Times New Roman" w:cs="Times New Roman"/>
          <w:u w:val="single"/>
        </w:rPr>
        <w:t>Sample Restrictions</w:t>
      </w:r>
    </w:p>
    <w:p w14:paraId="2FB216ED" w14:textId="0235A291" w:rsidR="001D100F" w:rsidRPr="001D100F" w:rsidRDefault="001D100F" w:rsidP="001F68CA">
      <w:pPr>
        <w:spacing w:line="360" w:lineRule="auto"/>
        <w:ind w:firstLine="720"/>
        <w:rPr>
          <w:rFonts w:ascii="Times New Roman" w:hAnsi="Times New Roman" w:cs="Times New Roman"/>
        </w:rPr>
      </w:pPr>
      <w:r w:rsidRPr="001D100F">
        <w:rPr>
          <w:rFonts w:ascii="Times New Roman" w:hAnsi="Times New Roman" w:cs="Times New Roman"/>
        </w:rPr>
        <w:t xml:space="preserve">The main sample will include publicly traded BDCs with available monthly stock returns from CRSP, quarterly NAV per share from </w:t>
      </w:r>
      <w:proofErr w:type="spellStart"/>
      <w:r w:rsidRPr="001D100F">
        <w:rPr>
          <w:rFonts w:ascii="Times New Roman" w:hAnsi="Times New Roman" w:cs="Times New Roman"/>
        </w:rPr>
        <w:t>Compustat</w:t>
      </w:r>
      <w:proofErr w:type="spellEnd"/>
      <w:r w:rsidRPr="001D100F">
        <w:rPr>
          <w:rFonts w:ascii="Times New Roman" w:hAnsi="Times New Roman" w:cs="Times New Roman"/>
        </w:rPr>
        <w:t xml:space="preserve">, and identifiable reporting dates. </w:t>
      </w:r>
      <w:r w:rsidRPr="001D100F">
        <w:rPr>
          <w:rFonts w:ascii="Times New Roman" w:hAnsi="Times New Roman" w:cs="Times New Roman"/>
        </w:rPr>
        <w:lastRenderedPageBreak/>
        <w:t>Observations will be excluded if market return data are missing, NAV values are missing, or the timing between NAV disclosure and market return alignment cannot be determined. BDCs with too few observations to support meaningful panel estimation will be excluded from the main sample, though they may be included in robustness checks if doing so does not materially affect the results.</w:t>
      </w:r>
      <w:r w:rsidR="001F68CA" w:rsidRPr="001F68CA">
        <w:rPr>
          <w:rFonts w:ascii="Times New Roman" w:hAnsi="Times New Roman" w:cs="Times New Roman"/>
        </w:rPr>
        <w:t xml:space="preserve"> </w:t>
      </w:r>
      <w:r w:rsidRPr="001D100F">
        <w:rPr>
          <w:rFonts w:ascii="Times New Roman" w:hAnsi="Times New Roman" w:cs="Times New Roman"/>
        </w:rPr>
        <w:t xml:space="preserve">For the event-style analysis, NAV announcements will be excluded if the </w:t>
      </w:r>
      <m:oMath>
        <m:d>
          <m:dPr>
            <m:begChr m:val="["/>
            <m:endChr m:val="]"/>
            <m:ctrlPr>
              <w:rPr>
                <w:rFonts w:ascii="Cambria Math" w:hAnsi="Cambria Math" w:cs="Times New Roman"/>
              </w:rPr>
            </m:ctrlPr>
          </m:dPr>
          <m:e>
            <m:r>
              <w:rPr>
                <w:rFonts w:ascii="Cambria Math" w:hAnsi="Cambria Math" w:cs="Times New Roman"/>
              </w:rPr>
              <m:t>-3,+3</m:t>
            </m:r>
          </m:e>
        </m:d>
      </m:oMath>
      <w:r w:rsidRPr="001D100F">
        <w:rPr>
          <w:rFonts w:ascii="Times New Roman" w:hAnsi="Times New Roman" w:cs="Times New Roman"/>
        </w:rPr>
        <w:t>event window overlaps with major confounding disclosures. These may include dividend cuts, large equity offerings, merger announcements, major credit facility changes, restatements, management turnover, or other material firm-specific news. The purpose of this restriction is to avoid attributing price movements to NAV announcements when another event plausibly drove the return.</w:t>
      </w:r>
    </w:p>
    <w:p w14:paraId="5E264010" w14:textId="44E9B9FD" w:rsidR="001D100F" w:rsidRPr="001D100F" w:rsidRDefault="001D100F" w:rsidP="001F68CA">
      <w:pPr>
        <w:spacing w:line="360" w:lineRule="auto"/>
        <w:ind w:firstLine="720"/>
        <w:rPr>
          <w:rFonts w:ascii="Times New Roman" w:hAnsi="Times New Roman" w:cs="Times New Roman"/>
        </w:rPr>
      </w:pPr>
      <w:r w:rsidRPr="001D100F">
        <w:rPr>
          <w:rFonts w:ascii="Times New Roman" w:hAnsi="Times New Roman" w:cs="Times New Roman"/>
        </w:rPr>
        <w:t>The sample period will begin no earlier than the point at which reliable NAV and return data are available for the BDC sample. If the analysis uses the current pilot period, the sample will cover January 2016 through December 2025. If the broader BDC universe can be assembled with reliable data, the sample may be extended earlier, subject to data quality and comparability. All sample restrictions will be stated before estimating the main models so that sample</w:t>
      </w:r>
      <w:r w:rsidR="001F68CA" w:rsidRPr="001F68CA">
        <w:rPr>
          <w:rFonts w:ascii="Times New Roman" w:hAnsi="Times New Roman" w:cs="Times New Roman"/>
        </w:rPr>
        <w:t xml:space="preserve"> </w:t>
      </w:r>
      <w:r w:rsidRPr="001D100F">
        <w:rPr>
          <w:rFonts w:ascii="Times New Roman" w:hAnsi="Times New Roman" w:cs="Times New Roman"/>
        </w:rPr>
        <w:t xml:space="preserve">construction remains ex ante rather than </w:t>
      </w:r>
      <w:proofErr w:type="gramStart"/>
      <w:r w:rsidRPr="001D100F">
        <w:rPr>
          <w:rFonts w:ascii="Times New Roman" w:hAnsi="Times New Roman" w:cs="Times New Roman"/>
        </w:rPr>
        <w:t>results-driven</w:t>
      </w:r>
      <w:proofErr w:type="gramEnd"/>
      <w:r w:rsidRPr="001D100F">
        <w:rPr>
          <w:rFonts w:ascii="Times New Roman" w:hAnsi="Times New Roman" w:cs="Times New Roman"/>
        </w:rPr>
        <w:t>.</w:t>
      </w:r>
    </w:p>
    <w:p w14:paraId="7C7487F7" w14:textId="77777777" w:rsidR="001D100F" w:rsidRPr="001D100F" w:rsidRDefault="001D100F" w:rsidP="001F68CA">
      <w:pPr>
        <w:spacing w:line="360" w:lineRule="auto"/>
        <w:rPr>
          <w:rFonts w:ascii="Times New Roman" w:hAnsi="Times New Roman" w:cs="Times New Roman"/>
          <w:u w:val="single"/>
        </w:rPr>
      </w:pPr>
      <w:r w:rsidRPr="001D100F">
        <w:rPr>
          <w:rFonts w:ascii="Times New Roman" w:hAnsi="Times New Roman" w:cs="Times New Roman"/>
          <w:u w:val="single"/>
        </w:rPr>
        <w:t>Robustness Checks</w:t>
      </w:r>
    </w:p>
    <w:p w14:paraId="60ABFBEF" w14:textId="53406D91" w:rsidR="001D100F" w:rsidRPr="001D100F" w:rsidRDefault="001D100F" w:rsidP="001F68CA">
      <w:pPr>
        <w:spacing w:line="360" w:lineRule="auto"/>
        <w:ind w:firstLine="720"/>
        <w:rPr>
          <w:rFonts w:ascii="Times New Roman" w:hAnsi="Times New Roman" w:cs="Times New Roman"/>
        </w:rPr>
      </w:pPr>
      <w:r w:rsidRPr="001D100F">
        <w:rPr>
          <w:rFonts w:ascii="Times New Roman" w:hAnsi="Times New Roman" w:cs="Times New Roman"/>
        </w:rPr>
        <w:t>The robustness checks will be organized around the main sources of potential sensitivity in the research design</w:t>
      </w:r>
      <w:r w:rsidR="00B20C05">
        <w:rPr>
          <w:rFonts w:ascii="Times New Roman" w:hAnsi="Times New Roman" w:cs="Times New Roman"/>
        </w:rPr>
        <w:t xml:space="preserve"> including </w:t>
      </w:r>
      <w:r w:rsidRPr="001D100F">
        <w:rPr>
          <w:rFonts w:ascii="Times New Roman" w:hAnsi="Times New Roman" w:cs="Times New Roman"/>
        </w:rPr>
        <w:t>return measurement, macro-variable measurement, NAV timing, firm-level heterogeneity, event-window construction, and inference.</w:t>
      </w:r>
      <w:r w:rsidR="001F68CA" w:rsidRPr="001F68CA">
        <w:rPr>
          <w:rFonts w:ascii="Times New Roman" w:hAnsi="Times New Roman" w:cs="Times New Roman"/>
        </w:rPr>
        <w:t xml:space="preserve"> </w:t>
      </w:r>
      <w:r w:rsidRPr="001D100F">
        <w:rPr>
          <w:rFonts w:ascii="Times New Roman" w:hAnsi="Times New Roman" w:cs="Times New Roman"/>
        </w:rPr>
        <w:t>The analysis will first examine whether the results depend on how returns are measured. The primary specification will use total market returns including dividends because distributions are a major component of BDC investor returns. The models will also be estimated using price returns alone and abnormal returns adjusted for broader market movements. Abnormal returns may be calculated by subtracting a broad equity market index, a financial-sector benchmark, or a credit-market benchmark such as leveraged loan or high-yield bond returns. This helps determine whether the results reflect BDC-specific valuation dynamics rather than general market performance.</w:t>
      </w:r>
    </w:p>
    <w:p w14:paraId="40ECD83D" w14:textId="77777777" w:rsidR="001D100F" w:rsidRPr="001D100F" w:rsidRDefault="001D100F" w:rsidP="001F68CA">
      <w:pPr>
        <w:spacing w:line="360" w:lineRule="auto"/>
        <w:ind w:firstLine="720"/>
        <w:rPr>
          <w:rFonts w:ascii="Times New Roman" w:hAnsi="Times New Roman" w:cs="Times New Roman"/>
        </w:rPr>
      </w:pPr>
      <w:r w:rsidRPr="001D100F">
        <w:rPr>
          <w:rFonts w:ascii="Times New Roman" w:hAnsi="Times New Roman" w:cs="Times New Roman"/>
        </w:rPr>
        <w:t xml:space="preserve">The macro-financial variables will also be tested using alternative measures. The main specification uses changes in the 10-year Treasury yield as the discount-rate channel and changes in Baa corporate spreads as the credit-risk channel. Alternative interest-rate measures may </w:t>
      </w:r>
      <w:r w:rsidRPr="001D100F">
        <w:rPr>
          <w:rFonts w:ascii="Times New Roman" w:hAnsi="Times New Roman" w:cs="Times New Roman"/>
        </w:rPr>
        <w:lastRenderedPageBreak/>
        <w:t>include the 2-year Treasury yield, the federal funds rate, and the slope of the yield curve. Alternative credit-risk measures may include high-yield spreads, investment-grade spreads, leveraged loan spreads, or the excess bond premium if available. The broader expectation is that lagged NAV should become less informative when discount-rate pressure or credit-risk compensation becomes more important, rather than only when one specific rate or spread measure is used.</w:t>
      </w:r>
    </w:p>
    <w:p w14:paraId="593082E3" w14:textId="77777777" w:rsidR="001D100F" w:rsidRPr="001D100F" w:rsidRDefault="001D100F" w:rsidP="001F68CA">
      <w:pPr>
        <w:spacing w:line="360" w:lineRule="auto"/>
        <w:ind w:firstLine="720"/>
        <w:rPr>
          <w:rFonts w:ascii="Times New Roman" w:hAnsi="Times New Roman" w:cs="Times New Roman"/>
        </w:rPr>
      </w:pPr>
      <w:r w:rsidRPr="001D100F">
        <w:rPr>
          <w:rFonts w:ascii="Times New Roman" w:hAnsi="Times New Roman" w:cs="Times New Roman"/>
        </w:rPr>
        <w:t>The study will also test whether the results are sensitive to how NAV timing is handled. Because NAV is reported quarterly while market returns are observed more frequently, the primary specification uses the most recently available NAV return as the lagged fundamental signal. Robustness checks will vary this timing by using one-month lags, one-quarter lags, and alternative rules for carrying forward the most recently reported NAV until the next disclosure. These tests matter because the theory depends on NAV being informative but delayed. The interpretation is stronger if the findings remain stable across reasonable timing conventions.</w:t>
      </w:r>
    </w:p>
    <w:p w14:paraId="351A196E" w14:textId="77777777" w:rsidR="001D100F" w:rsidRPr="001D100F" w:rsidRDefault="001D100F" w:rsidP="001F68CA">
      <w:pPr>
        <w:spacing w:line="360" w:lineRule="auto"/>
        <w:ind w:firstLine="720"/>
        <w:rPr>
          <w:rFonts w:ascii="Times New Roman" w:hAnsi="Times New Roman" w:cs="Times New Roman"/>
        </w:rPr>
      </w:pPr>
      <w:r w:rsidRPr="001D100F">
        <w:rPr>
          <w:rFonts w:ascii="Times New Roman" w:hAnsi="Times New Roman" w:cs="Times New Roman"/>
        </w:rPr>
        <w:t>Additional checks will address firm-level heterogeneity and omitted-variable concerns. The baseline model will include BDC fixed effects to absorb persistent differences across firms. Additional specifications will add or vary controls for size, leverage, dividend yield, prior returns, trading volume, and premium or discount to NAV. The analysis will also examine whether results differ for BDCs trading at a premium to NAV versus those trading at a discount to NAV, since price-to-NAV gaps may reflect sentiment and valuation frictions in closed-end fund settings (</w:t>
      </w:r>
      <w:proofErr w:type="spellStart"/>
      <w:r w:rsidRPr="001D100F">
        <w:rPr>
          <w:rFonts w:ascii="Times New Roman" w:hAnsi="Times New Roman" w:cs="Times New Roman"/>
        </w:rPr>
        <w:t>Fenaroli</w:t>
      </w:r>
      <w:proofErr w:type="spellEnd"/>
      <w:r w:rsidRPr="001D100F">
        <w:rPr>
          <w:rFonts w:ascii="Times New Roman" w:hAnsi="Times New Roman" w:cs="Times New Roman"/>
        </w:rPr>
        <w:t xml:space="preserve">, 2019). </w:t>
      </w:r>
    </w:p>
    <w:p w14:paraId="454E5811" w14:textId="5116E843" w:rsidR="001D100F" w:rsidRPr="001D100F" w:rsidRDefault="001D100F" w:rsidP="001F68CA">
      <w:pPr>
        <w:spacing w:line="360" w:lineRule="auto"/>
        <w:ind w:firstLine="720"/>
        <w:rPr>
          <w:rFonts w:ascii="Times New Roman" w:hAnsi="Times New Roman" w:cs="Times New Roman"/>
        </w:rPr>
      </w:pPr>
      <w:r w:rsidRPr="001D100F">
        <w:rPr>
          <w:rFonts w:ascii="Times New Roman" w:hAnsi="Times New Roman" w:cs="Times New Roman"/>
        </w:rPr>
        <w:t xml:space="preserve">The event-style analysis will be tested using alternative event windows and benchmark choices around the main </w:t>
      </w:r>
      <m:oMath>
        <m:d>
          <m:dPr>
            <m:begChr m:val="["/>
            <m:endChr m:val="]"/>
            <m:ctrlPr>
              <w:rPr>
                <w:rFonts w:ascii="Cambria Math" w:hAnsi="Cambria Math" w:cs="Times New Roman"/>
              </w:rPr>
            </m:ctrlPr>
          </m:dPr>
          <m:e>
            <m:r>
              <w:rPr>
                <w:rFonts w:ascii="Cambria Math" w:hAnsi="Cambria Math" w:cs="Times New Roman"/>
              </w:rPr>
              <m:t>-3,+3</m:t>
            </m:r>
          </m:e>
        </m:d>
      </m:oMath>
      <w:r w:rsidRPr="001D100F">
        <w:rPr>
          <w:rFonts w:ascii="Times New Roman" w:hAnsi="Times New Roman" w:cs="Times New Roman"/>
        </w:rPr>
        <w:t xml:space="preserve">specification. The primary event window will remain </w:t>
      </w:r>
      <m:oMath>
        <m:d>
          <m:dPr>
            <m:begChr m:val="["/>
            <m:endChr m:val="]"/>
            <m:ctrlPr>
              <w:rPr>
                <w:rFonts w:ascii="Cambria Math" w:hAnsi="Cambria Math" w:cs="Times New Roman"/>
              </w:rPr>
            </m:ctrlPr>
          </m:dPr>
          <m:e>
            <m:r>
              <w:rPr>
                <w:rFonts w:ascii="Cambria Math" w:hAnsi="Cambria Math" w:cs="Times New Roman"/>
              </w:rPr>
              <m:t>-3,+3</m:t>
            </m:r>
          </m:e>
        </m:d>
      </m:oMath>
      <w:r w:rsidRPr="001D100F">
        <w:rPr>
          <w:rFonts w:ascii="Times New Roman" w:hAnsi="Times New Roman" w:cs="Times New Roman"/>
        </w:rPr>
        <w:t xml:space="preserve">, but the analysis will also examine narrower windows such as </w:t>
      </w:r>
      <m:oMath>
        <m:d>
          <m:dPr>
            <m:begChr m:val="["/>
            <m:endChr m:val="]"/>
            <m:ctrlPr>
              <w:rPr>
                <w:rFonts w:ascii="Cambria Math" w:hAnsi="Cambria Math" w:cs="Times New Roman"/>
              </w:rPr>
            </m:ctrlPr>
          </m:dPr>
          <m:e>
            <m:r>
              <w:rPr>
                <w:rFonts w:ascii="Cambria Math" w:hAnsi="Cambria Math" w:cs="Times New Roman"/>
              </w:rPr>
              <m:t>-1,+1</m:t>
            </m:r>
          </m:e>
        </m:d>
      </m:oMath>
      <w:r w:rsidRPr="001D100F">
        <w:rPr>
          <w:rFonts w:ascii="Times New Roman" w:hAnsi="Times New Roman" w:cs="Times New Roman"/>
        </w:rPr>
        <w:t xml:space="preserve">and </w:t>
      </w:r>
      <m:oMath>
        <m:d>
          <m:dPr>
            <m:begChr m:val="["/>
            <m:endChr m:val="]"/>
            <m:ctrlPr>
              <w:rPr>
                <w:rFonts w:ascii="Cambria Math" w:hAnsi="Cambria Math" w:cs="Times New Roman"/>
              </w:rPr>
            </m:ctrlPr>
          </m:dPr>
          <m:e>
            <m:r>
              <w:rPr>
                <w:rFonts w:ascii="Cambria Math" w:hAnsi="Cambria Math" w:cs="Times New Roman"/>
              </w:rPr>
              <m:t>0,+1</m:t>
            </m:r>
          </m:e>
        </m:d>
      </m:oMath>
      <w:r w:rsidRPr="001D100F">
        <w:rPr>
          <w:rFonts w:ascii="Times New Roman" w:hAnsi="Times New Roman" w:cs="Times New Roman"/>
        </w:rPr>
        <w:t xml:space="preserve">, as well as a wider window such as </w:t>
      </w:r>
      <m:oMath>
        <m:d>
          <m:dPr>
            <m:begChr m:val="["/>
            <m:endChr m:val="]"/>
            <m:ctrlPr>
              <w:rPr>
                <w:rFonts w:ascii="Cambria Math" w:hAnsi="Cambria Math" w:cs="Times New Roman"/>
              </w:rPr>
            </m:ctrlPr>
          </m:dPr>
          <m:e>
            <m:r>
              <w:rPr>
                <w:rFonts w:ascii="Cambria Math" w:hAnsi="Cambria Math" w:cs="Times New Roman"/>
              </w:rPr>
              <m:t>-5,+5</m:t>
            </m:r>
          </m:e>
        </m:d>
      </m:oMath>
      <w:r w:rsidRPr="001D100F">
        <w:rPr>
          <w:rFonts w:ascii="Times New Roman" w:hAnsi="Times New Roman" w:cs="Times New Roman"/>
        </w:rPr>
        <w:t xml:space="preserve">. If abnormal returns are benchmarked to the day </w:t>
      </w:r>
      <m:oMath>
        <m:r>
          <w:rPr>
            <w:rFonts w:ascii="Cambria Math" w:hAnsi="Cambria Math" w:cs="Times New Roman"/>
          </w:rPr>
          <m:t>-1</m:t>
        </m:r>
      </m:oMath>
      <w:r w:rsidRPr="001D100F">
        <w:rPr>
          <w:rFonts w:ascii="Times New Roman" w:hAnsi="Times New Roman" w:cs="Times New Roman"/>
        </w:rPr>
        <w:t>return in the preliminary design, the analysis will also test market-adjusted abnormal returns and model-based abnormal returns as alternatives. These checks help determine whether the valuation response is immediate, gradual, or sensitive to the benchmark used to define abnormal performance.</w:t>
      </w:r>
    </w:p>
    <w:p w14:paraId="69956C79" w14:textId="0A130071" w:rsidR="001D100F" w:rsidRPr="001D100F" w:rsidRDefault="001D100F" w:rsidP="001F68CA">
      <w:pPr>
        <w:spacing w:line="360" w:lineRule="auto"/>
        <w:ind w:firstLine="720"/>
        <w:rPr>
          <w:rFonts w:ascii="Times New Roman" w:hAnsi="Times New Roman" w:cs="Times New Roman"/>
        </w:rPr>
      </w:pPr>
      <w:r w:rsidRPr="001D100F">
        <w:rPr>
          <w:rFonts w:ascii="Times New Roman" w:hAnsi="Times New Roman" w:cs="Times New Roman"/>
        </w:rPr>
        <w:t xml:space="preserve">Finally, the analysis will address outliers and statistical </w:t>
      </w:r>
      <w:proofErr w:type="spellStart"/>
      <w:r w:rsidRPr="001D100F">
        <w:rPr>
          <w:rFonts w:ascii="Times New Roman" w:hAnsi="Times New Roman" w:cs="Times New Roman"/>
        </w:rPr>
        <w:t>inference.Standard</w:t>
      </w:r>
      <w:proofErr w:type="spellEnd"/>
      <w:r w:rsidRPr="001D100F">
        <w:rPr>
          <w:rFonts w:ascii="Times New Roman" w:hAnsi="Times New Roman" w:cs="Times New Roman"/>
        </w:rPr>
        <w:t xml:space="preserve"> errors will be clustered at the BDC level to account for serial correlation within firms. If the sample is large </w:t>
      </w:r>
      <w:r w:rsidRPr="001D100F">
        <w:rPr>
          <w:rFonts w:ascii="Times New Roman" w:hAnsi="Times New Roman" w:cs="Times New Roman"/>
        </w:rPr>
        <w:lastRenderedPageBreak/>
        <w:t>enough, the analysis will also consider two-way clustering by BDC and time. Because the macro variables are common across firms, inference will be interpreted carefully across specifications with different fixed effects and clustering choices. The purpose of these robustness checks is to assess whether the theory remains stable across reasonable alternative definitions, timing assumptions, and sample treatments.</w:t>
      </w:r>
    </w:p>
    <w:p w14:paraId="323A03EE" w14:textId="2DB24610" w:rsidR="001F68CA" w:rsidRDefault="001F68CA" w:rsidP="001F68CA">
      <w:pPr>
        <w:spacing w:line="360" w:lineRule="auto"/>
        <w:rPr>
          <w:rFonts w:ascii="Times New Roman" w:hAnsi="Times New Roman" w:cs="Times New Roman"/>
          <w:b/>
          <w:bCs/>
          <w:sz w:val="28"/>
          <w:szCs w:val="28"/>
        </w:rPr>
      </w:pPr>
      <w:r>
        <w:rPr>
          <w:rFonts w:ascii="Times New Roman" w:hAnsi="Times New Roman" w:cs="Times New Roman"/>
          <w:b/>
          <w:bCs/>
          <w:sz w:val="28"/>
          <w:szCs w:val="28"/>
        </w:rPr>
        <w:t>Conclusion and Expectations</w:t>
      </w:r>
    </w:p>
    <w:p w14:paraId="19874A8E" w14:textId="77777777" w:rsidR="001F68CA" w:rsidRPr="001F68CA" w:rsidRDefault="001F68CA" w:rsidP="001F68CA">
      <w:pPr>
        <w:spacing w:line="360" w:lineRule="auto"/>
        <w:ind w:firstLine="720"/>
        <w:rPr>
          <w:rFonts w:ascii="Times New Roman" w:hAnsi="Times New Roman" w:cs="Times New Roman"/>
        </w:rPr>
      </w:pPr>
      <w:r w:rsidRPr="001F68CA">
        <w:rPr>
          <w:rFonts w:ascii="Times New Roman" w:hAnsi="Times New Roman" w:cs="Times New Roman"/>
        </w:rPr>
        <w:t>This study is expected to provide evidence on how closely BDC market valuations remain tied to NAV-based fundamentals when the broader valuation environment changes. Because BDCs hold private-credit assets but trade in public markets, their valuation depends on both the reported value of the underlying portfolio and the market’s real-time assessment of discount rates, credit risk, and risk compensation. The central expectation is that lagged NAV returns should contain useful information about BDC market returns, but that this information becomes less influential when interest rates rise or credit spreads widen. In those periods, investors may place more weight on current macro-financial conditions than on the most recently reported NAV.</w:t>
      </w:r>
    </w:p>
    <w:p w14:paraId="7643E5C0" w14:textId="2ED8DF10" w:rsidR="001F68CA" w:rsidRPr="001F68CA" w:rsidRDefault="001F68CA" w:rsidP="001F68CA">
      <w:pPr>
        <w:spacing w:line="360" w:lineRule="auto"/>
        <w:ind w:firstLine="720"/>
        <w:rPr>
          <w:rFonts w:ascii="Times New Roman" w:hAnsi="Times New Roman" w:cs="Times New Roman"/>
        </w:rPr>
      </w:pPr>
      <w:r w:rsidRPr="001F68CA">
        <w:rPr>
          <w:rFonts w:ascii="Times New Roman" w:hAnsi="Times New Roman" w:cs="Times New Roman"/>
        </w:rPr>
        <w:t xml:space="preserve">The economic importance of this question comes from the role BDCs play in the private-credit market. BDCs help finance small and middle-market firms that may have limited access to traditional bank credit or public debt markets. At the same time, they give public-market investors exposure to assets that are not continuously priced in public markets. If market prices rely less on NAV during periods of rising rates or widening spreads, this suggests that BDC valuation is not only a function of reported portfolio performance but </w:t>
      </w:r>
      <w:r w:rsidR="00AE4411" w:rsidRPr="001F68CA">
        <w:rPr>
          <w:rFonts w:ascii="Times New Roman" w:hAnsi="Times New Roman" w:cs="Times New Roman"/>
        </w:rPr>
        <w:t>that</w:t>
      </w:r>
      <w:r w:rsidRPr="001F68CA">
        <w:rPr>
          <w:rFonts w:ascii="Times New Roman" w:hAnsi="Times New Roman" w:cs="Times New Roman"/>
        </w:rPr>
        <w:t xml:space="preserve"> also depends on the market’s perception of credit conditions and required risk compensation. This matters for investors evaluating BDC shares, for managers trying to communicate portfolio value, and for researchers interested in how private-credit risk is transmitted into public markets.</w:t>
      </w:r>
    </w:p>
    <w:p w14:paraId="25D1F17C" w14:textId="77777777" w:rsidR="001F68CA" w:rsidRPr="001F68CA" w:rsidRDefault="001F68CA" w:rsidP="001F68CA">
      <w:pPr>
        <w:spacing w:line="360" w:lineRule="auto"/>
        <w:ind w:firstLine="720"/>
        <w:rPr>
          <w:rFonts w:ascii="Times New Roman" w:hAnsi="Times New Roman" w:cs="Times New Roman"/>
        </w:rPr>
      </w:pPr>
      <w:r w:rsidRPr="001F68CA">
        <w:rPr>
          <w:rFonts w:ascii="Times New Roman" w:hAnsi="Times New Roman" w:cs="Times New Roman"/>
        </w:rPr>
        <w:t xml:space="preserve">The expected findings also have implications for how NAV should be interpreted. NAV is not irrelevant, but it may not be equally informative in all states of the market. In stable conditions, NAV may serve as a stronger anchor because the most recently reported portfolio value is more likely to approximate current fundamentals. In stressed or rapidly changing conditions, however, NAV may become less useful because rates and spreads can adjust faster </w:t>
      </w:r>
      <w:r w:rsidRPr="001F68CA">
        <w:rPr>
          <w:rFonts w:ascii="Times New Roman" w:hAnsi="Times New Roman" w:cs="Times New Roman"/>
        </w:rPr>
        <w:lastRenderedPageBreak/>
        <w:t>than reported portfolio values. This distinction is especially important for BDCs because their assets are private, illiquid, and tied to borrower-specific credit risk. The study therefore treats NAV as an informative but delayed signal rather than a complete and continuously updated measure of value.</w:t>
      </w:r>
    </w:p>
    <w:p w14:paraId="12F834FF" w14:textId="6F68195C" w:rsidR="001F68CA" w:rsidRDefault="001F68CA" w:rsidP="001F68CA">
      <w:pPr>
        <w:spacing w:line="360" w:lineRule="auto"/>
        <w:ind w:firstLine="720"/>
        <w:rPr>
          <w:rFonts w:ascii="Times New Roman" w:hAnsi="Times New Roman" w:cs="Times New Roman"/>
          <w:b/>
          <w:bCs/>
        </w:rPr>
      </w:pPr>
      <w:r w:rsidRPr="001F68CA">
        <w:rPr>
          <w:rFonts w:ascii="Times New Roman" w:hAnsi="Times New Roman" w:cs="Times New Roman"/>
        </w:rPr>
        <w:t xml:space="preserve">Overall, the proposal examines whether the relationship between BDC market returns and lagged NAV returns is state-dependent. The design combines a monthly panel framework with a complementary NAV announcement analysis to study whether BDC valuations respond to NAV information and whether that response weakens when discount-rate and credit-risk conditions become more important. The broader goal is to understand how public markets value private-credit exposure when the main fundamental signal arrives with delay. </w:t>
      </w:r>
    </w:p>
    <w:p w14:paraId="6798D549" w14:textId="77777777" w:rsidR="001F68CA" w:rsidRDefault="001F68CA" w:rsidP="001F68CA">
      <w:pPr>
        <w:spacing w:line="360" w:lineRule="auto"/>
        <w:ind w:firstLine="720"/>
        <w:rPr>
          <w:rFonts w:ascii="Times New Roman" w:hAnsi="Times New Roman" w:cs="Times New Roman"/>
          <w:b/>
          <w:bCs/>
        </w:rPr>
      </w:pPr>
    </w:p>
    <w:p w14:paraId="17171F41" w14:textId="77777777" w:rsidR="001F68CA" w:rsidRDefault="001F68CA" w:rsidP="001F68CA">
      <w:pPr>
        <w:spacing w:line="360" w:lineRule="auto"/>
        <w:ind w:firstLine="720"/>
        <w:rPr>
          <w:rFonts w:ascii="Times New Roman" w:hAnsi="Times New Roman" w:cs="Times New Roman"/>
          <w:b/>
          <w:bCs/>
        </w:rPr>
      </w:pPr>
    </w:p>
    <w:p w14:paraId="1BAE6087" w14:textId="77777777" w:rsidR="001F68CA" w:rsidRDefault="001F68CA" w:rsidP="001F68CA">
      <w:pPr>
        <w:spacing w:line="360" w:lineRule="auto"/>
        <w:ind w:firstLine="720"/>
        <w:rPr>
          <w:rFonts w:ascii="Times New Roman" w:hAnsi="Times New Roman" w:cs="Times New Roman"/>
          <w:b/>
          <w:bCs/>
        </w:rPr>
      </w:pPr>
    </w:p>
    <w:p w14:paraId="768FE3CF" w14:textId="77777777" w:rsidR="001F68CA" w:rsidRDefault="001F68CA" w:rsidP="001F68CA">
      <w:pPr>
        <w:spacing w:line="360" w:lineRule="auto"/>
        <w:ind w:firstLine="720"/>
        <w:rPr>
          <w:rFonts w:ascii="Times New Roman" w:hAnsi="Times New Roman" w:cs="Times New Roman"/>
          <w:b/>
          <w:bCs/>
        </w:rPr>
      </w:pPr>
    </w:p>
    <w:p w14:paraId="2D6EBAF3" w14:textId="77777777" w:rsidR="001F68CA" w:rsidRDefault="001F68CA" w:rsidP="001F68CA">
      <w:pPr>
        <w:spacing w:line="360" w:lineRule="auto"/>
        <w:ind w:firstLine="720"/>
        <w:rPr>
          <w:rFonts w:ascii="Times New Roman" w:hAnsi="Times New Roman" w:cs="Times New Roman"/>
          <w:b/>
          <w:bCs/>
        </w:rPr>
      </w:pPr>
    </w:p>
    <w:p w14:paraId="78B3A3B8" w14:textId="77777777" w:rsidR="001F68CA" w:rsidRDefault="001F68CA" w:rsidP="001F68CA">
      <w:pPr>
        <w:spacing w:line="360" w:lineRule="auto"/>
        <w:ind w:firstLine="720"/>
        <w:rPr>
          <w:rFonts w:ascii="Times New Roman" w:hAnsi="Times New Roman" w:cs="Times New Roman"/>
          <w:b/>
          <w:bCs/>
        </w:rPr>
      </w:pPr>
    </w:p>
    <w:p w14:paraId="00CC1701" w14:textId="77777777" w:rsidR="001F68CA" w:rsidRDefault="001F68CA" w:rsidP="001F68CA">
      <w:pPr>
        <w:spacing w:line="360" w:lineRule="auto"/>
        <w:ind w:firstLine="720"/>
        <w:rPr>
          <w:rFonts w:ascii="Times New Roman" w:hAnsi="Times New Roman" w:cs="Times New Roman"/>
          <w:b/>
          <w:bCs/>
        </w:rPr>
      </w:pPr>
    </w:p>
    <w:p w14:paraId="4BB1A003" w14:textId="77777777" w:rsidR="001F68CA" w:rsidRDefault="001F68CA" w:rsidP="001F68CA">
      <w:pPr>
        <w:spacing w:line="360" w:lineRule="auto"/>
        <w:ind w:firstLine="720"/>
        <w:rPr>
          <w:rFonts w:ascii="Times New Roman" w:hAnsi="Times New Roman" w:cs="Times New Roman"/>
          <w:b/>
          <w:bCs/>
        </w:rPr>
      </w:pPr>
    </w:p>
    <w:p w14:paraId="5C634B52" w14:textId="77777777" w:rsidR="001F68CA" w:rsidRDefault="001F68CA" w:rsidP="001F68CA">
      <w:pPr>
        <w:spacing w:line="360" w:lineRule="auto"/>
        <w:ind w:firstLine="720"/>
        <w:rPr>
          <w:rFonts w:ascii="Times New Roman" w:hAnsi="Times New Roman" w:cs="Times New Roman"/>
          <w:b/>
          <w:bCs/>
        </w:rPr>
      </w:pPr>
    </w:p>
    <w:p w14:paraId="7BCD8C28" w14:textId="77777777" w:rsidR="001F68CA" w:rsidRDefault="001F68CA" w:rsidP="001F68CA">
      <w:pPr>
        <w:spacing w:line="360" w:lineRule="auto"/>
        <w:ind w:firstLine="720"/>
        <w:rPr>
          <w:rFonts w:ascii="Times New Roman" w:hAnsi="Times New Roman" w:cs="Times New Roman"/>
          <w:b/>
          <w:bCs/>
        </w:rPr>
      </w:pPr>
    </w:p>
    <w:p w14:paraId="2B70F0D2" w14:textId="77777777" w:rsidR="001F68CA" w:rsidRDefault="001F68CA" w:rsidP="001F68CA">
      <w:pPr>
        <w:spacing w:line="360" w:lineRule="auto"/>
        <w:ind w:firstLine="720"/>
        <w:rPr>
          <w:rFonts w:ascii="Times New Roman" w:hAnsi="Times New Roman" w:cs="Times New Roman"/>
          <w:b/>
          <w:bCs/>
        </w:rPr>
      </w:pPr>
    </w:p>
    <w:p w14:paraId="2F80190B" w14:textId="77777777" w:rsidR="00AE4411" w:rsidRDefault="00AE4411" w:rsidP="001F68CA">
      <w:pPr>
        <w:spacing w:line="360" w:lineRule="auto"/>
        <w:ind w:firstLine="720"/>
        <w:rPr>
          <w:rFonts w:ascii="Times New Roman" w:hAnsi="Times New Roman" w:cs="Times New Roman"/>
          <w:b/>
          <w:bCs/>
        </w:rPr>
      </w:pPr>
    </w:p>
    <w:p w14:paraId="1868490B" w14:textId="77777777" w:rsidR="00AE4411" w:rsidRDefault="00AE4411" w:rsidP="001F68CA">
      <w:pPr>
        <w:spacing w:line="360" w:lineRule="auto"/>
        <w:ind w:firstLine="720"/>
        <w:rPr>
          <w:rFonts w:ascii="Times New Roman" w:hAnsi="Times New Roman" w:cs="Times New Roman"/>
          <w:b/>
          <w:bCs/>
        </w:rPr>
      </w:pPr>
    </w:p>
    <w:p w14:paraId="1A22E9F3" w14:textId="77777777" w:rsidR="001F68CA" w:rsidRDefault="001F68CA" w:rsidP="001F68CA">
      <w:pPr>
        <w:spacing w:line="360" w:lineRule="auto"/>
        <w:ind w:firstLine="720"/>
        <w:rPr>
          <w:rFonts w:ascii="Times New Roman" w:hAnsi="Times New Roman" w:cs="Times New Roman"/>
          <w:b/>
          <w:bCs/>
        </w:rPr>
      </w:pPr>
    </w:p>
    <w:p w14:paraId="414C2385" w14:textId="77777777" w:rsidR="001F68CA" w:rsidRPr="001F68CA" w:rsidRDefault="001F68CA" w:rsidP="001F68CA">
      <w:pPr>
        <w:spacing w:line="360" w:lineRule="auto"/>
        <w:ind w:firstLine="720"/>
        <w:rPr>
          <w:rFonts w:ascii="Times New Roman" w:hAnsi="Times New Roman" w:cs="Times New Roman"/>
          <w:b/>
          <w:bCs/>
        </w:rPr>
      </w:pPr>
    </w:p>
    <w:p w14:paraId="058814AB" w14:textId="5F7E7761" w:rsidR="001F68CA" w:rsidRPr="001F68CA" w:rsidRDefault="001F68CA" w:rsidP="001F68CA">
      <w:pPr>
        <w:pStyle w:val="NormalWeb"/>
        <w:jc w:val="center"/>
        <w:rPr>
          <w:b/>
          <w:bCs/>
          <w:sz w:val="28"/>
          <w:szCs w:val="28"/>
        </w:rPr>
      </w:pPr>
      <w:r w:rsidRPr="001F68CA">
        <w:rPr>
          <w:b/>
          <w:bCs/>
          <w:sz w:val="28"/>
          <w:szCs w:val="28"/>
        </w:rPr>
        <w:lastRenderedPageBreak/>
        <w:t>References</w:t>
      </w:r>
    </w:p>
    <w:p w14:paraId="35107B6E" w14:textId="41A58264" w:rsidR="001F68CA" w:rsidRDefault="001F68CA" w:rsidP="001F68CA">
      <w:pPr>
        <w:pStyle w:val="NormalWeb"/>
      </w:pPr>
      <w:r>
        <w:t xml:space="preserve">Acharya, V. V., Anginer, D., &amp; Warburton, A. J. (2016). </w:t>
      </w:r>
      <w:r>
        <w:rPr>
          <w:rStyle w:val="Emphasis"/>
          <w:rFonts w:eastAsiaTheme="majorEastAsia"/>
        </w:rPr>
        <w:t>The end of market discipline? Investor expectations of implicit government guarantees</w:t>
      </w:r>
      <w:r>
        <w:t>.</w:t>
      </w:r>
    </w:p>
    <w:p w14:paraId="545C0746" w14:textId="77777777" w:rsidR="001F68CA" w:rsidRDefault="001F68CA" w:rsidP="001F68CA">
      <w:pPr>
        <w:pStyle w:val="NormalWeb"/>
      </w:pPr>
      <w:r>
        <w:t xml:space="preserve">Acharya, V. V., Berger, A. N., &amp; Roman, R. A. (2018). Lending implications of U.S. bank stress tests: Costs or benefits? </w:t>
      </w:r>
      <w:r>
        <w:rPr>
          <w:rStyle w:val="Emphasis"/>
          <w:rFonts w:eastAsiaTheme="majorEastAsia"/>
        </w:rPr>
        <w:t>Journal of Financial Intermediation, 34</w:t>
      </w:r>
      <w:r>
        <w:t xml:space="preserve">, 58–90. </w:t>
      </w:r>
      <w:hyperlink r:id="rId6" w:tgtFrame="_new" w:history="1">
        <w:r>
          <w:rPr>
            <w:rStyle w:val="Hyperlink"/>
            <w:rFonts w:eastAsiaTheme="majorEastAsia"/>
          </w:rPr>
          <w:t>https://doi.org/10.1016/j.jfi.2018.01.004</w:t>
        </w:r>
      </w:hyperlink>
    </w:p>
    <w:p w14:paraId="698FD9E0" w14:textId="77777777" w:rsidR="001F68CA" w:rsidRDefault="001F68CA" w:rsidP="001F68CA">
      <w:pPr>
        <w:pStyle w:val="NormalWeb"/>
      </w:pPr>
      <w:r>
        <w:t xml:space="preserve">Carey, M., Post, M., &amp; Sharpe, S. A. (1998). Does corporate lending by banks and finance companies differ? Evidence on specialization in private debt contracting. </w:t>
      </w:r>
      <w:r>
        <w:rPr>
          <w:rStyle w:val="Emphasis"/>
          <w:rFonts w:eastAsiaTheme="majorEastAsia"/>
        </w:rPr>
        <w:t>The Journal of Finance, 53</w:t>
      </w:r>
      <w:r>
        <w:t>(3), 845–878.</w:t>
      </w:r>
    </w:p>
    <w:p w14:paraId="4EA65139" w14:textId="77777777" w:rsidR="001F68CA" w:rsidRDefault="001F68CA" w:rsidP="001F68CA">
      <w:pPr>
        <w:pStyle w:val="NormalWeb"/>
      </w:pPr>
      <w:r w:rsidRPr="001F68CA">
        <w:rPr>
          <w:lang w:val="fr-FR"/>
        </w:rPr>
        <w:t xml:space="preserve">Chen, B. S., Hanson, S. G., &amp; Stein, J. C. (2017). </w:t>
      </w:r>
      <w:r>
        <w:rPr>
          <w:rStyle w:val="Emphasis"/>
          <w:rFonts w:eastAsiaTheme="majorEastAsia"/>
        </w:rPr>
        <w:t>The decline of big-bank lending to small business: Dynamic impacts on local credit and labor markets</w:t>
      </w:r>
      <w:r>
        <w:t xml:space="preserve"> (NBER Working Paper No. 23843). National Bureau of Economic Research.</w:t>
      </w:r>
    </w:p>
    <w:p w14:paraId="5D86D24B" w14:textId="0557A85D" w:rsidR="001F68CA" w:rsidRDefault="001F68CA" w:rsidP="001F68CA">
      <w:pPr>
        <w:pStyle w:val="NormalWeb"/>
      </w:pPr>
      <w:r>
        <w:t xml:space="preserve">Davydiuk, T., Erel, I., Jiang, W., &amp; Marchuk, T. (2025). </w:t>
      </w:r>
      <w:r>
        <w:rPr>
          <w:rStyle w:val="Emphasis"/>
          <w:rFonts w:eastAsiaTheme="majorEastAsia"/>
        </w:rPr>
        <w:t>Common investors across the capital structure: Private debt funds as dual holders</w:t>
      </w:r>
      <w:r>
        <w:t>.</w:t>
      </w:r>
    </w:p>
    <w:p w14:paraId="183E783E" w14:textId="77777777" w:rsidR="001F68CA" w:rsidRDefault="001F68CA" w:rsidP="001F68CA">
      <w:pPr>
        <w:pStyle w:val="NormalWeb"/>
      </w:pPr>
      <w:r>
        <w:t xml:space="preserve">Davydiuk, T., Marchuk, T., &amp; Rosen, S. (2024). Direct lenders in the U.S. middle market. </w:t>
      </w:r>
      <w:r>
        <w:rPr>
          <w:rStyle w:val="Emphasis"/>
          <w:rFonts w:eastAsiaTheme="majorEastAsia"/>
        </w:rPr>
        <w:t>Journal of Financial Economics, 162</w:t>
      </w:r>
      <w:r>
        <w:t xml:space="preserve">, Article 103946. </w:t>
      </w:r>
      <w:hyperlink r:id="rId7" w:tgtFrame="_new" w:history="1">
        <w:r>
          <w:rPr>
            <w:rStyle w:val="Hyperlink"/>
            <w:rFonts w:eastAsiaTheme="majorEastAsia"/>
          </w:rPr>
          <w:t>https://doi.org/10.1016/j.jfineco.2024.103946</w:t>
        </w:r>
      </w:hyperlink>
    </w:p>
    <w:p w14:paraId="2F9792B4" w14:textId="77777777" w:rsidR="001F68CA" w:rsidRDefault="001F68CA" w:rsidP="001F68CA">
      <w:pPr>
        <w:pStyle w:val="NormalWeb"/>
      </w:pPr>
      <w:r>
        <w:t xml:space="preserve">Davydiuk, T., Marchuk, T., &amp; Rosen, S. (2024). Market discipline in the direct lending space. </w:t>
      </w:r>
      <w:r>
        <w:rPr>
          <w:rStyle w:val="Emphasis"/>
          <w:rFonts w:eastAsiaTheme="majorEastAsia"/>
        </w:rPr>
        <w:t>The Review of Financial Studies, 37</w:t>
      </w:r>
      <w:r>
        <w:t xml:space="preserve">(4), 1190–1264. </w:t>
      </w:r>
      <w:hyperlink r:id="rId8" w:tgtFrame="_new" w:history="1">
        <w:r>
          <w:rPr>
            <w:rStyle w:val="Hyperlink"/>
            <w:rFonts w:eastAsiaTheme="majorEastAsia"/>
          </w:rPr>
          <w:t>https://doi.org/10.1093/rfs/hhad081</w:t>
        </w:r>
      </w:hyperlink>
    </w:p>
    <w:p w14:paraId="64E3D55C" w14:textId="77777777" w:rsidR="001F68CA" w:rsidRDefault="001F68CA" w:rsidP="001F68CA">
      <w:pPr>
        <w:pStyle w:val="NormalWeb"/>
      </w:pPr>
      <w:proofErr w:type="spellStart"/>
      <w:r>
        <w:t>Fenaroli</w:t>
      </w:r>
      <w:proofErr w:type="spellEnd"/>
      <w:r>
        <w:t xml:space="preserve">, C. E. (2019). </w:t>
      </w:r>
      <w:r>
        <w:rPr>
          <w:rStyle w:val="Emphasis"/>
          <w:rFonts w:eastAsiaTheme="majorEastAsia"/>
        </w:rPr>
        <w:t>The closed-end fund puzzle: New evidence from business development companies</w:t>
      </w:r>
      <w:r>
        <w:t xml:space="preserve"> [</w:t>
      </w:r>
      <w:proofErr w:type="gramStart"/>
      <w:r>
        <w:t>Bachelor’s</w:t>
      </w:r>
      <w:proofErr w:type="gramEnd"/>
      <w:r>
        <w:t xml:space="preserve"> thesis, Harvard College]. Harvard DASH Repository. </w:t>
      </w:r>
      <w:hyperlink r:id="rId9" w:tgtFrame="_new" w:history="1">
        <w:r>
          <w:rPr>
            <w:rStyle w:val="Hyperlink"/>
            <w:rFonts w:eastAsiaTheme="majorEastAsia"/>
          </w:rPr>
          <w:t>https://nrs.harvard.edu/URN-3:HUL.INSTREPOS:37364615</w:t>
        </w:r>
      </w:hyperlink>
    </w:p>
    <w:p w14:paraId="137D1FB0" w14:textId="77777777" w:rsidR="001F68CA" w:rsidRDefault="001F68CA" w:rsidP="001F68CA">
      <w:pPr>
        <w:pStyle w:val="NormalWeb"/>
      </w:pPr>
      <w:r>
        <w:t xml:space="preserve">Jang, Y. S., Kim, D., &amp; Sufi, A. (2025). </w:t>
      </w:r>
      <w:r>
        <w:rPr>
          <w:rStyle w:val="Emphasis"/>
          <w:rFonts w:eastAsiaTheme="majorEastAsia"/>
        </w:rPr>
        <w:t>The lending technology of direct lenders in private credit</w:t>
      </w:r>
      <w:r>
        <w:t xml:space="preserve"> (NBER Working Paper No. 34500). National Bureau of Economic Research.</w:t>
      </w:r>
    </w:p>
    <w:p w14:paraId="423560AE" w14:textId="77777777" w:rsidR="001F68CA" w:rsidRDefault="001F68CA" w:rsidP="001F68CA">
      <w:pPr>
        <w:pStyle w:val="NormalWeb"/>
      </w:pPr>
      <w:r>
        <w:t xml:space="preserve">Kroll. (n.d.). </w:t>
      </w:r>
      <w:r>
        <w:rPr>
          <w:rStyle w:val="Emphasis"/>
          <w:rFonts w:eastAsiaTheme="majorEastAsia"/>
        </w:rPr>
        <w:t>Mastering business development companies</w:t>
      </w:r>
      <w:r>
        <w:t xml:space="preserve">. </w:t>
      </w:r>
      <w:hyperlink r:id="rId10" w:tgtFrame="_new" w:history="1">
        <w:r>
          <w:rPr>
            <w:rStyle w:val="Hyperlink"/>
            <w:rFonts w:eastAsiaTheme="majorEastAsia"/>
          </w:rPr>
          <w:t>https://www.kroll.com/en/publications/financial-compliance-regulation/mastering-business-development-companies</w:t>
        </w:r>
      </w:hyperlink>
    </w:p>
    <w:p w14:paraId="14CAC077" w14:textId="77777777" w:rsidR="001F68CA" w:rsidRDefault="001F68CA" w:rsidP="001F68CA">
      <w:pPr>
        <w:pStyle w:val="NormalWeb"/>
      </w:pPr>
      <w:r>
        <w:t xml:space="preserve">Kuan, R. (2025). </w:t>
      </w:r>
      <w:r>
        <w:rPr>
          <w:rStyle w:val="Emphasis"/>
          <w:rFonts w:eastAsiaTheme="majorEastAsia"/>
        </w:rPr>
        <w:t>The public face of private credit: Performance dynamics in business development companies</w:t>
      </w:r>
      <w:r>
        <w:t xml:space="preserve"> [Senior thesis, Claremont McKenna College]. </w:t>
      </w:r>
      <w:proofErr w:type="spellStart"/>
      <w:r>
        <w:t>Scholarship@Claremont</w:t>
      </w:r>
      <w:proofErr w:type="spellEnd"/>
      <w:r>
        <w:t>.</w:t>
      </w:r>
    </w:p>
    <w:p w14:paraId="4146531F" w14:textId="77777777" w:rsidR="001F68CA" w:rsidRDefault="001F68CA" w:rsidP="001F68CA">
      <w:pPr>
        <w:pStyle w:val="NormalWeb"/>
      </w:pPr>
      <w:r>
        <w:t xml:space="preserve">Park, T. J. (2013). </w:t>
      </w:r>
      <w:r>
        <w:rPr>
          <w:rStyle w:val="Emphasis"/>
          <w:rFonts w:eastAsiaTheme="majorEastAsia"/>
        </w:rPr>
        <w:t>An examination of the interest rate sensitivity of business development company (BDC) stock returns</w:t>
      </w:r>
      <w:r>
        <w:t xml:space="preserve"> [Senior thesis, Claremont McKenna College]. </w:t>
      </w:r>
      <w:proofErr w:type="spellStart"/>
      <w:r>
        <w:t>Scholarship@Claremont</w:t>
      </w:r>
      <w:proofErr w:type="spellEnd"/>
      <w:r>
        <w:t>.</w:t>
      </w:r>
    </w:p>
    <w:p w14:paraId="41EFA773" w14:textId="77777777" w:rsidR="001F68CA" w:rsidRDefault="001F68CA" w:rsidP="001F68CA">
      <w:pPr>
        <w:pStyle w:val="NormalWeb"/>
      </w:pPr>
      <w:r>
        <w:t xml:space="preserve">Patidar, R. (n.d.). </w:t>
      </w:r>
      <w:r>
        <w:rPr>
          <w:rStyle w:val="Emphasis"/>
          <w:rFonts w:eastAsiaTheme="majorEastAsia"/>
        </w:rPr>
        <w:t>Specialization in nonbank lending</w:t>
      </w:r>
      <w:r>
        <w:t>.</w:t>
      </w:r>
    </w:p>
    <w:p w14:paraId="21F7C2CB" w14:textId="77777777" w:rsidR="001F68CA" w:rsidRDefault="001F68CA" w:rsidP="001F68CA">
      <w:pPr>
        <w:pStyle w:val="NormalWeb"/>
      </w:pPr>
      <w:r>
        <w:lastRenderedPageBreak/>
        <w:t xml:space="preserve">Rozen, H., Bar-Hava, K., &amp; Fried, Z. (2016). Does corporate governance really matter in the public venture capital industry? </w:t>
      </w:r>
      <w:r>
        <w:rPr>
          <w:rStyle w:val="Emphasis"/>
          <w:rFonts w:eastAsiaTheme="majorEastAsia"/>
        </w:rPr>
        <w:t>International Journal of Disclosure and Governance, 13</w:t>
      </w:r>
      <w:r>
        <w:t>, 394–417. https://doi.org/10.1057/s41310-016-0013-4</w:t>
      </w:r>
    </w:p>
    <w:p w14:paraId="38F89B52" w14:textId="77777777" w:rsidR="001F68CA" w:rsidRDefault="001F68CA" w:rsidP="001F68CA">
      <w:pPr>
        <w:pStyle w:val="NormalWeb"/>
      </w:pPr>
      <w:r>
        <w:t xml:space="preserve">Suhonen, A. (2024). Direct lending returns. </w:t>
      </w:r>
      <w:r>
        <w:rPr>
          <w:rStyle w:val="Emphasis"/>
          <w:rFonts w:eastAsiaTheme="majorEastAsia"/>
        </w:rPr>
        <w:t>Financial Analysts Journal, 80</w:t>
      </w:r>
      <w:r>
        <w:t xml:space="preserve">(1), 57–83. </w:t>
      </w:r>
      <w:hyperlink r:id="rId11" w:tgtFrame="_new" w:history="1">
        <w:r>
          <w:rPr>
            <w:rStyle w:val="Hyperlink"/>
            <w:rFonts w:eastAsiaTheme="majorEastAsia"/>
          </w:rPr>
          <w:t>https://doi.org/10.1080/0015198X.2023.2254199</w:t>
        </w:r>
      </w:hyperlink>
    </w:p>
    <w:p w14:paraId="346B6DC2" w14:textId="77777777" w:rsidR="001F68CA" w:rsidRDefault="001F68CA" w:rsidP="001F68CA">
      <w:pPr>
        <w:pStyle w:val="NormalWeb"/>
      </w:pPr>
      <w:r>
        <w:t xml:space="preserve">Warburton, A. J. (2020). Business development companies: Venture capital for retail investors. </w:t>
      </w:r>
      <w:r>
        <w:rPr>
          <w:rStyle w:val="Emphasis"/>
          <w:rFonts w:eastAsiaTheme="majorEastAsia"/>
        </w:rPr>
        <w:t>The Business Lawyer, 76</w:t>
      </w:r>
      <w:r>
        <w:t>(1), 59–108.</w:t>
      </w:r>
    </w:p>
    <w:p w14:paraId="7E3FD5C9" w14:textId="11B6B4A2" w:rsidR="001F68CA" w:rsidRPr="001F68CA" w:rsidRDefault="001F68CA" w:rsidP="001F68CA">
      <w:pPr>
        <w:spacing w:line="480" w:lineRule="auto"/>
        <w:jc w:val="center"/>
        <w:rPr>
          <w:rFonts w:ascii="Times New Roman" w:hAnsi="Times New Roman" w:cs="Times New Roman"/>
          <w:b/>
          <w:bCs/>
          <w:sz w:val="28"/>
          <w:szCs w:val="28"/>
        </w:rPr>
      </w:pPr>
    </w:p>
    <w:sectPr w:rsidR="001F68CA" w:rsidRPr="001F68CA">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4FF07" w14:textId="77777777" w:rsidR="00D96A2F" w:rsidRDefault="00D96A2F" w:rsidP="00397741">
      <w:pPr>
        <w:spacing w:after="0" w:line="240" w:lineRule="auto"/>
      </w:pPr>
      <w:r>
        <w:separator/>
      </w:r>
    </w:p>
  </w:endnote>
  <w:endnote w:type="continuationSeparator" w:id="0">
    <w:p w14:paraId="4FDCC7B6" w14:textId="77777777" w:rsidR="00D96A2F" w:rsidRDefault="00D96A2F" w:rsidP="00397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672726"/>
      <w:docPartObj>
        <w:docPartGallery w:val="Page Numbers (Bottom of Page)"/>
        <w:docPartUnique/>
      </w:docPartObj>
    </w:sdtPr>
    <w:sdtEndPr>
      <w:rPr>
        <w:rFonts w:ascii="Times New Roman" w:hAnsi="Times New Roman" w:cs="Times New Roman"/>
        <w:color w:val="7F7F7F" w:themeColor="background1" w:themeShade="7F"/>
        <w:spacing w:val="60"/>
      </w:rPr>
    </w:sdtEndPr>
    <w:sdtContent>
      <w:p w14:paraId="466E43FE" w14:textId="3B7B5109" w:rsidR="00397741" w:rsidRPr="00397741" w:rsidRDefault="00397741">
        <w:pPr>
          <w:pStyle w:val="Footer"/>
          <w:pBdr>
            <w:top w:val="single" w:sz="4" w:space="1" w:color="D9D9D9" w:themeColor="background1" w:themeShade="D9"/>
          </w:pBdr>
          <w:jc w:val="right"/>
          <w:rPr>
            <w:rFonts w:ascii="Times New Roman" w:hAnsi="Times New Roman" w:cs="Times New Roman"/>
          </w:rPr>
        </w:pPr>
        <w:r w:rsidRPr="00397741">
          <w:rPr>
            <w:rFonts w:ascii="Times New Roman" w:hAnsi="Times New Roman" w:cs="Times New Roman"/>
          </w:rPr>
          <w:fldChar w:fldCharType="begin"/>
        </w:r>
        <w:r w:rsidRPr="00397741">
          <w:rPr>
            <w:rFonts w:ascii="Times New Roman" w:hAnsi="Times New Roman" w:cs="Times New Roman"/>
          </w:rPr>
          <w:instrText xml:space="preserve"> PAGE   \* MERGEFORMAT </w:instrText>
        </w:r>
        <w:r w:rsidRPr="00397741">
          <w:rPr>
            <w:rFonts w:ascii="Times New Roman" w:hAnsi="Times New Roman" w:cs="Times New Roman"/>
          </w:rPr>
          <w:fldChar w:fldCharType="separate"/>
        </w:r>
        <w:r w:rsidRPr="00397741">
          <w:rPr>
            <w:rFonts w:ascii="Times New Roman" w:hAnsi="Times New Roman" w:cs="Times New Roman"/>
            <w:noProof/>
          </w:rPr>
          <w:t>2</w:t>
        </w:r>
        <w:r w:rsidRPr="00397741">
          <w:rPr>
            <w:rFonts w:ascii="Times New Roman" w:hAnsi="Times New Roman" w:cs="Times New Roman"/>
            <w:noProof/>
          </w:rPr>
          <w:fldChar w:fldCharType="end"/>
        </w:r>
        <w:r w:rsidRPr="00397741">
          <w:rPr>
            <w:rFonts w:ascii="Times New Roman" w:hAnsi="Times New Roman" w:cs="Times New Roman"/>
          </w:rPr>
          <w:t xml:space="preserve"> | </w:t>
        </w:r>
        <w:r w:rsidRPr="00397741">
          <w:rPr>
            <w:rFonts w:ascii="Times New Roman" w:hAnsi="Times New Roman" w:cs="Times New Roman"/>
            <w:color w:val="7F7F7F" w:themeColor="background1" w:themeShade="7F"/>
            <w:spacing w:val="60"/>
          </w:rPr>
          <w:t>Page</w:t>
        </w:r>
      </w:p>
    </w:sdtContent>
  </w:sdt>
  <w:p w14:paraId="6B539E0B" w14:textId="77777777" w:rsidR="00397741" w:rsidRDefault="003977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5BFAC" w14:textId="77777777" w:rsidR="00D96A2F" w:rsidRDefault="00D96A2F" w:rsidP="00397741">
      <w:pPr>
        <w:spacing w:after="0" w:line="240" w:lineRule="auto"/>
      </w:pPr>
      <w:r>
        <w:separator/>
      </w:r>
    </w:p>
  </w:footnote>
  <w:footnote w:type="continuationSeparator" w:id="0">
    <w:p w14:paraId="36A8F352" w14:textId="77777777" w:rsidR="00D96A2F" w:rsidRDefault="00D96A2F" w:rsidP="0039774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975"/>
    <w:rsid w:val="00035D5B"/>
    <w:rsid w:val="000479AB"/>
    <w:rsid w:val="001D100F"/>
    <w:rsid w:val="001F68CA"/>
    <w:rsid w:val="00252D52"/>
    <w:rsid w:val="00286628"/>
    <w:rsid w:val="00397741"/>
    <w:rsid w:val="003D4CD6"/>
    <w:rsid w:val="00731AD8"/>
    <w:rsid w:val="00883B3B"/>
    <w:rsid w:val="00AE4411"/>
    <w:rsid w:val="00B20C05"/>
    <w:rsid w:val="00BC7D13"/>
    <w:rsid w:val="00CC0DED"/>
    <w:rsid w:val="00D96A2F"/>
    <w:rsid w:val="00EE0975"/>
    <w:rsid w:val="00EF5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22E2C"/>
  <w15:chartTrackingRefBased/>
  <w15:docId w15:val="{7B8D19A7-F805-4DD0-ADBB-D18268BE1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9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9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9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9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9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9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9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9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9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9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9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9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9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9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9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9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9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975"/>
    <w:rPr>
      <w:rFonts w:eastAsiaTheme="majorEastAsia" w:cstheme="majorBidi"/>
      <w:color w:val="272727" w:themeColor="text1" w:themeTint="D8"/>
    </w:rPr>
  </w:style>
  <w:style w:type="paragraph" w:styleId="Title">
    <w:name w:val="Title"/>
    <w:basedOn w:val="Normal"/>
    <w:next w:val="Normal"/>
    <w:link w:val="TitleChar"/>
    <w:uiPriority w:val="10"/>
    <w:qFormat/>
    <w:rsid w:val="00EE09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9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9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9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975"/>
    <w:pPr>
      <w:spacing w:before="160"/>
      <w:jc w:val="center"/>
    </w:pPr>
    <w:rPr>
      <w:i/>
      <w:iCs/>
      <w:color w:val="404040" w:themeColor="text1" w:themeTint="BF"/>
    </w:rPr>
  </w:style>
  <w:style w:type="character" w:customStyle="1" w:styleId="QuoteChar">
    <w:name w:val="Quote Char"/>
    <w:basedOn w:val="DefaultParagraphFont"/>
    <w:link w:val="Quote"/>
    <w:uiPriority w:val="29"/>
    <w:rsid w:val="00EE0975"/>
    <w:rPr>
      <w:i/>
      <w:iCs/>
      <w:color w:val="404040" w:themeColor="text1" w:themeTint="BF"/>
    </w:rPr>
  </w:style>
  <w:style w:type="paragraph" w:styleId="ListParagraph">
    <w:name w:val="List Paragraph"/>
    <w:basedOn w:val="Normal"/>
    <w:uiPriority w:val="34"/>
    <w:qFormat/>
    <w:rsid w:val="00EE0975"/>
    <w:pPr>
      <w:ind w:left="720"/>
      <w:contextualSpacing/>
    </w:pPr>
  </w:style>
  <w:style w:type="character" w:styleId="IntenseEmphasis">
    <w:name w:val="Intense Emphasis"/>
    <w:basedOn w:val="DefaultParagraphFont"/>
    <w:uiPriority w:val="21"/>
    <w:qFormat/>
    <w:rsid w:val="00EE0975"/>
    <w:rPr>
      <w:i/>
      <w:iCs/>
      <w:color w:val="0F4761" w:themeColor="accent1" w:themeShade="BF"/>
    </w:rPr>
  </w:style>
  <w:style w:type="paragraph" w:styleId="IntenseQuote">
    <w:name w:val="Intense Quote"/>
    <w:basedOn w:val="Normal"/>
    <w:next w:val="Normal"/>
    <w:link w:val="IntenseQuoteChar"/>
    <w:uiPriority w:val="30"/>
    <w:qFormat/>
    <w:rsid w:val="00EE09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975"/>
    <w:rPr>
      <w:i/>
      <w:iCs/>
      <w:color w:val="0F4761" w:themeColor="accent1" w:themeShade="BF"/>
    </w:rPr>
  </w:style>
  <w:style w:type="character" w:styleId="IntenseReference">
    <w:name w:val="Intense Reference"/>
    <w:basedOn w:val="DefaultParagraphFont"/>
    <w:uiPriority w:val="32"/>
    <w:qFormat/>
    <w:rsid w:val="00EE0975"/>
    <w:rPr>
      <w:b/>
      <w:bCs/>
      <w:smallCaps/>
      <w:color w:val="0F4761" w:themeColor="accent1" w:themeShade="BF"/>
      <w:spacing w:val="5"/>
    </w:rPr>
  </w:style>
  <w:style w:type="paragraph" w:styleId="NormalWeb">
    <w:name w:val="Normal (Web)"/>
    <w:basedOn w:val="Normal"/>
    <w:uiPriority w:val="99"/>
    <w:semiHidden/>
    <w:unhideWhenUsed/>
    <w:rsid w:val="001F68C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F68CA"/>
    <w:rPr>
      <w:i/>
      <w:iCs/>
    </w:rPr>
  </w:style>
  <w:style w:type="character" w:styleId="Hyperlink">
    <w:name w:val="Hyperlink"/>
    <w:basedOn w:val="DefaultParagraphFont"/>
    <w:uiPriority w:val="99"/>
    <w:semiHidden/>
    <w:unhideWhenUsed/>
    <w:rsid w:val="001F68CA"/>
    <w:rPr>
      <w:color w:val="0000FF"/>
      <w:u w:val="single"/>
    </w:rPr>
  </w:style>
  <w:style w:type="paragraph" w:styleId="Header">
    <w:name w:val="header"/>
    <w:basedOn w:val="Normal"/>
    <w:link w:val="HeaderChar"/>
    <w:uiPriority w:val="99"/>
    <w:unhideWhenUsed/>
    <w:rsid w:val="003977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7741"/>
  </w:style>
  <w:style w:type="paragraph" w:styleId="Footer">
    <w:name w:val="footer"/>
    <w:basedOn w:val="Normal"/>
    <w:link w:val="FooterChar"/>
    <w:uiPriority w:val="99"/>
    <w:unhideWhenUsed/>
    <w:rsid w:val="003977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77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rfs/hhad081"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1016/j.jfineco.2024.103946"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16/j.jfi.2018.01.004" TargetMode="External"/><Relationship Id="rId11" Type="http://schemas.openxmlformats.org/officeDocument/2006/relationships/hyperlink" Target="https://doi.org/10.1080/0015198X.2023.2254199" TargetMode="External"/><Relationship Id="rId5" Type="http://schemas.openxmlformats.org/officeDocument/2006/relationships/endnotes" Target="endnotes.xml"/><Relationship Id="rId10" Type="http://schemas.openxmlformats.org/officeDocument/2006/relationships/hyperlink" Target="https://www.kroll.com/en/publications/financial-compliance-regulation/mastering-business-development-companies?utm_source=chatgpt.com" TargetMode="External"/><Relationship Id="rId4" Type="http://schemas.openxmlformats.org/officeDocument/2006/relationships/footnotes" Target="footnotes.xml"/><Relationship Id="rId9" Type="http://schemas.openxmlformats.org/officeDocument/2006/relationships/hyperlink" Target="https://nrs.harvard.edu/URN-3:HUL.INSTREPOS:37364615"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7360</Words>
  <Characters>41955</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Kevvin</dc:creator>
  <cp:keywords/>
  <dc:description/>
  <cp:lastModifiedBy>Ajay Ghimire</cp:lastModifiedBy>
  <cp:revision>2</cp:revision>
  <dcterms:created xsi:type="dcterms:W3CDTF">2026-04-27T11:24:00Z</dcterms:created>
  <dcterms:modified xsi:type="dcterms:W3CDTF">2026-04-27T11:24:00Z</dcterms:modified>
</cp:coreProperties>
</file>