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xml:space="preserve">
  <w:body>
    <w:sectPr>
      <w:pgSz w:w="12240" w:h="15840"/>
      <w:pgMar w:top="1360" w:bottom="280" w:left="1800" w:right="1080"/>
    </w:sectPr>
    <w:p>
      <w:pPr>
        <w:jc w:val="center"/>
        <w:spacing w:line="480" w:lineRule="auto"/>
      </w:pPr>
      <w:r>
        <w:rPr>
          <w:sz w:val="24"/>
          <w:szCs w:val="24"/>
          <w:rFonts w:ascii="Arial" w:hAnsi="Arial" w:cs="Arial"/>
          <w:b/>
          <w:bCs/>
        </w:rPr>
        <w:t>CHAPTER II</w:t>
      </w:r>
    </w:p>
    <w:p>
      <w:pPr>
        <w:jc w:val="center"/>
        <w:spacing w:line="480" w:lineRule="auto"/>
      </w:pPr>
      <w:r>
        <w:rPr>
          <w:sz w:val="24"/>
          <w:szCs w:val="24"/>
          <w:rFonts w:ascii="Arial" w:hAnsi="Arial" w:cs="Arial"/>
          <w:b/>
          <w:bCs/>
        </w:rPr>
        <w:t>REVIEW OF RELATED LITERATURE AND STUDIES</w:t>
      </w:r>
    </w:p>
    <w:p>
      <w:pPr>
        <w:jc w:val="both"/>
        <w:spacing w:line="480" w:lineRule="auto"/>
        <w:ind w:firstLine="720"/>
      </w:pPr>
      <w:r>
        <w:rPr>
          <w:sz w:val="24"/>
          <w:szCs w:val="24"/>
          <w:rFonts w:ascii="Arial" w:hAnsi="Arial" w:cs="Arial"/>
        </w:rPr>
        <w:t>This chapter presents the review of related literature and studies gathered from journals and recent research. These studies provide the theoretical and technological foundations for the development of a voice-based reading assessment system for the ARAL Reading Program.</w:t>
      </w:r>
    </w:p>
    <w:p>
      <w:pPr>
        <w:jc w:val="left"/>
        <w:spacing w:line="480" w:lineRule="auto"/>
      </w:pPr>
      <w:r>
        <w:rPr>
          <w:sz w:val="24"/>
          <w:szCs w:val="24"/>
          <w:rFonts w:ascii="Arial" w:hAnsi="Arial" w:cs="Arial"/>
          <w:b/>
          <w:bCs/>
        </w:rPr>
        <w:t>Questionnaire Module for Pre-Assessment and Post-Assessment</w:t>
      </w:r>
    </w:p>
    <w:p>
      <w:pPr>
        <w:jc w:val="both"/>
        <w:spacing w:line="480" w:lineRule="auto"/>
        <w:ind w:firstLine="720"/>
      </w:pPr>
      <w:r>
        <w:rPr>
          <w:sz w:val="24"/>
          <w:szCs w:val="24"/>
          <w:rFonts w:ascii="Arial" w:hAnsi="Arial" w:cs="Arial"/>
        </w:rPr>
        <w:t>Assessment systems are important tools in evaluating students’ learning progress and determining the effectiveness of instructional strategies. According to Heydarnejad, Tagavipour, and Patra (2022), assessment systems help educators monitor learners’ comprehension, motivation, and academic performance through continuous evaluation. In the Philippine context, Bete (2025) found that structured diagnostic tools like the Philippine Informal Reading Inventory (Phil-IRI) enable teachers to systematically measure reading progress under the National Reading Program, though manual assessment often causes administrative delays.</w:t>
      </w:r>
    </w:p>
    <w:p>
      <w:pPr>
        <w:jc w:val="both"/>
        <w:spacing w:line="480" w:lineRule="auto"/>
        <w:ind w:firstLine="720"/>
      </w:pPr>
      <w:r>
        <w:rPr>
          <w:sz w:val="24"/>
          <w:szCs w:val="24"/>
          <w:rFonts w:ascii="Arial" w:hAnsi="Arial" w:cs="Arial"/>
        </w:rPr>
        <w:t>Similarly, Cadime et al. (2022) emphasized that pre-test and post-test questionnaires are essential in evaluating reading disabilities because they establish students’ baseline reading levels and accurately measure learning gains after targeted digital interventions. Their findings highlight that automated digital assessments eliminate subjective teacher bias and provide reliable longitudinal data for reading recovery programs.</w:t>
      </w:r>
    </w:p>
    <w:p>
      <w:pPr>
        <w:jc w:val="both"/>
        <w:spacing w:line="480" w:lineRule="auto"/>
        <w:ind w:firstLine="720"/>
      </w:pPr>
      <w:r>
        <w:rPr>
          <w:sz w:val="24"/>
          <w:szCs w:val="24"/>
          <w:rFonts w:ascii="Arial" w:hAnsi="Arial" w:cs="Arial"/>
        </w:rPr>
        <w:t>These studies highlight the significance of utilizing assessment systems in evaluating students’ baseline performance and learning progress. In relation to the present study, the implementation of an automated questionnaire module for pre-assessment and post-assessment will help evaluate students’ academic performance before and after participation in the ARAL Program. By digitizing the diagnostic process, educators can efficiently measure learning progress and determine the effectiveness of reading interventions without the heavy burden of manual data recording.</w:t>
      </w:r>
    </w:p>
    <w:p>
      <w:pPr>
        <w:jc w:val="left"/>
        <w:spacing w:line="480" w:lineRule="auto"/>
      </w:pPr>
      <w:r>
        <w:rPr>
          <w:sz w:val="24"/>
          <w:szCs w:val="24"/>
          <w:rFonts w:ascii="Arial" w:hAnsi="Arial" w:cs="Arial"/>
          <w:b/>
          <w:bCs/>
        </w:rPr>
        <w:t>Student Selection and Profiling System</w:t>
      </w:r>
    </w:p>
    <w:p>
      <w:pPr>
        <w:jc w:val="both"/>
        <w:spacing w:line="480" w:lineRule="auto"/>
        <w:ind w:firstLine="720"/>
      </w:pPr>
      <w:r>
        <w:rPr>
          <w:sz w:val="24"/>
          <w:szCs w:val="24"/>
          <w:rFonts w:ascii="Arial" w:hAnsi="Arial" w:cs="Arial"/>
        </w:rPr>
        <w:t>Systematic student profiling systems play an important role in organizing learner information and improving targeted educational interventions. Kwon et al. (2021) explained that learning management systems and digital profiling tools help educational institutions collect, organize, and manage student data effectively. Their study emphasized that automated systems support personalized learning pathways and improve academic monitoring by providing a centralized repository for learner records.</w:t>
      </w:r>
    </w:p>
    <w:p>
      <w:pPr>
        <w:jc w:val="both"/>
        <w:spacing w:line="480" w:lineRule="auto"/>
        <w:ind w:firstLine="720"/>
      </w:pPr>
      <w:r>
        <w:rPr>
          <w:sz w:val="24"/>
          <w:szCs w:val="24"/>
          <w:rFonts w:ascii="Arial" w:hAnsi="Arial" w:cs="Arial"/>
        </w:rPr>
        <w:t>In assessment-driven contexts, Heydarnejad et al. (2022) demonstrated that assessment-based learner classification significantly enhances instructional efficacy. By categorizing learners according to their diagnostic assessment scores, teachers can tailor appropriate instructional strategies to match students’ specific cognitive capabilities and reading needs. Ritonga et al. (2022) also highlighted that systematic learner profiling fosters data-driven academic monitoring, allowing educators to track individual skill progression and deliver targeted feedback.</w:t>
      </w:r>
    </w:p>
    <w:p>
      <w:pPr>
        <w:jc w:val="both"/>
        <w:spacing w:line="480" w:lineRule="auto"/>
        <w:ind w:firstLine="720"/>
      </w:pPr>
      <w:r>
        <w:rPr>
          <w:sz w:val="24"/>
          <w:szCs w:val="24"/>
          <w:rFonts w:ascii="Arial" w:hAnsi="Arial" w:cs="Arial"/>
        </w:rPr>
        <w:t>These studies underscore the importance of implementing student profiling systems in modern literacy programs. In relation to the present study, the development of a student selection and profiling system for the ARAL Program will automate learner registration and track baseline Phil-IRI reading levels. This centralized profiling will empower reading coordinators at Barcelonita Fisheries School to efficiently select target participants, monitor individual longitudinal growth, and dynamically adjust reading intervention assignments.</w:t>
      </w:r>
    </w:p>
    <w:p>
      <w:pPr>
        <w:jc w:val="left"/>
        <w:spacing w:line="480" w:lineRule="auto"/>
      </w:pPr>
      <w:r>
        <w:rPr>
          <w:sz w:val="24"/>
          <w:szCs w:val="24"/>
          <w:rFonts w:ascii="Arial" w:hAnsi="Arial" w:cs="Arial"/>
          <w:b/>
          <w:bCs/>
        </w:rPr>
        <w:t>Voice-Based Assessment Using Microsoft Azure Speech</w:t>
      </w:r>
    </w:p>
    <w:p>
      <w:pPr>
        <w:jc w:val="both"/>
        <w:spacing w:line="480" w:lineRule="auto"/>
        <w:ind w:firstLine="720"/>
      </w:pPr>
      <w:r>
        <w:rPr>
          <w:sz w:val="24"/>
          <w:szCs w:val="24"/>
          <w:rFonts w:ascii="Arial" w:hAnsi="Arial" w:cs="Arial"/>
        </w:rPr>
        <w:t>Voice-based assessment systems have become widely used in evaluating reading fluency and pronunciation accuracy through artificial intelligence. Moxon (2024) demonstrated the effectiveness of integrating Microsoft Azure Speech Services in language pedagogy, noting that Azure’s continuous streaming engine and Goodness of Pronunciation (GOP) acoustic scoring deliver real-time, low-latency evaluations of pronunciation accuracy, fluency, completeness, and prosody. This technology provides learners with immediate phone-level feedback, enabling autonomous reading-aloud practice while significantly reducing speaking anxiety.</w:t>
      </w:r>
    </w:p>
    <w:p>
      <w:pPr>
        <w:jc w:val="both"/>
        <w:spacing w:line="480" w:lineRule="auto"/>
        <w:ind w:firstLine="720"/>
      </w:pPr>
      <w:r>
        <w:rPr>
          <w:sz w:val="24"/>
          <w:szCs w:val="24"/>
          <w:rFonts w:ascii="Arial" w:hAnsi="Arial" w:cs="Arial"/>
        </w:rPr>
        <w:t>While offline batch processing models like OpenAI Whisper excel in general transcription, Molenaar et al. (2023) revealed that they lack the native, real-time GOP acoustic scoring required for continuous classroom reading assessments. Reading diagnostics require immediate, phoneme-level miscue detection that continuous cloud-based SDKs can deliver. Furthermore, Gao et al. (2024) emphasized that phoneme-level alignment algorithms are critical for accurately detecting mispronunciations and omitted words in child speech, which is essential for effective reading remediation. Speech recognition accuracy can be further enhanced using Python’s difflib module for exact string matching to identify missing or substituted words (Python Software Foundation, 2024).</w:t>
      </w:r>
    </w:p>
    <w:p>
      <w:pPr>
        <w:jc w:val="both"/>
        <w:spacing w:line="480" w:lineRule="auto"/>
        <w:ind w:firstLine="720"/>
      </w:pPr>
      <w:r>
        <w:rPr>
          <w:sz w:val="24"/>
          <w:szCs w:val="24"/>
          <w:rFonts w:ascii="Arial" w:hAnsi="Arial" w:cs="Arial"/>
        </w:rPr>
        <w:t>These studies highlight the importance of utilizing advanced voice-based assessment technologies in evaluating oral reading performance. In relation to the present study, the integration of Microsoft Azure Speech SDK and Neural Text-to-Speech (TTS) will provide a robust engine for the reading assessment system. By calculating real-time GOP acoustic scores and applying fuzzy string alignment, the system will objectively evaluate students' oral reading fluency and provide expressive voice models to guide struggling readers during remedial sessions.</w:t>
      </w:r>
    </w:p>
    <w:p>
      <w:pPr>
        <w:jc w:val="left"/>
        <w:spacing w:line="480" w:lineRule="auto"/>
      </w:pPr>
      <w:r>
        <w:rPr>
          <w:sz w:val="24"/>
          <w:szCs w:val="24"/>
          <w:rFonts w:ascii="Arial" w:hAnsi="Arial" w:cs="Arial"/>
          <w:b/>
          <w:bCs/>
        </w:rPr>
        <w:t>Recommendation System Based on Phil-IRI Results</w:t>
      </w:r>
    </w:p>
    <w:p>
      <w:pPr>
        <w:jc w:val="both"/>
        <w:spacing w:line="480" w:lineRule="auto"/>
        <w:ind w:firstLine="720"/>
      </w:pPr>
      <w:r>
        <w:rPr>
          <w:sz w:val="24"/>
          <w:szCs w:val="24"/>
          <w:rFonts w:ascii="Arial" w:hAnsi="Arial" w:cs="Arial"/>
        </w:rPr>
        <w:t>Recommendation systems are important tools in providing targeted interventions and individualized reading development strategies for struggling learners. In the Philippines, the Philippine Informal Reading Inventory (Phil-IRI) serves as the standard diagnostic framework for categorizing learners into Frustration, Instructional, and Independent reading levels (Department of Education, 2018). Chugyawi (2024) demonstrated that identifying specific miscue patterns through oral reading assessments provides critical insights into learners' decoding deficits, and these diagnostic profiles must be systematically mapped to contextualized intervention strategies to improve functional literacy.</w:t>
      </w:r>
    </w:p>
    <w:p>
      <w:pPr>
        <w:jc w:val="both"/>
        <w:spacing w:line="480" w:lineRule="auto"/>
        <w:ind w:firstLine="720"/>
      </w:pPr>
      <w:r>
        <w:rPr>
          <w:sz w:val="24"/>
          <w:szCs w:val="24"/>
          <w:rFonts w:ascii="Arial" w:hAnsi="Arial" w:cs="Arial"/>
        </w:rPr>
        <w:t>Educational recommendation systems provide the algorithmic bridge between diagnostic findings and remedial instruction. Heydarnejad et al. (2022) explained that assessment-driven recommendations significantly improve reading comprehension and academic achievement by automatically triggering targeted reading exercises that match a student's specific instructional needs. Similarly, Molenaar et al. (2023) highlighted that automated miscue detection allows system-generated recommendations to target specific phoneme mispronunciations or fluency pauses, enabling highly personalized literacy support.</w:t>
      </w:r>
    </w:p>
    <w:p>
      <w:pPr>
        <w:jc w:val="both"/>
        <w:spacing w:line="480" w:lineRule="auto"/>
        <w:ind w:firstLine="720"/>
      </w:pPr>
      <w:r>
        <w:rPr>
          <w:sz w:val="24"/>
          <w:szCs w:val="24"/>
          <w:rFonts w:ascii="Arial" w:hAnsi="Arial" w:cs="Arial"/>
        </w:rPr>
        <w:t>These studies highlight the importance of implementing recommendation systems based on diagnostic frameworks like Phil-IRI. In relation to the present study, the development of an automated recommendation system will help translate raw diagnostic assessment scores and miscue taxonomies into personalized learning pathways. By automatically classifying learners into their designated Phil-IRI reading levels, the system will assign targeted phonics drills and reading modules tailored to their precise literacy needs.</w:t>
      </w:r>
    </w:p>
    <w:p>
      <w:pPr>
        <w:jc w:val="left"/>
        <w:spacing w:line="480" w:lineRule="auto"/>
      </w:pPr>
      <w:r>
        <w:rPr>
          <w:sz w:val="24"/>
          <w:szCs w:val="24"/>
          <w:rFonts w:ascii="Arial" w:hAnsi="Arial" w:cs="Arial"/>
          <w:b/>
          <w:bCs/>
        </w:rPr>
        <w:t>Synthesis of Related Literature and Studies</w:t>
      </w:r>
    </w:p>
    <w:p>
      <w:pPr>
        <w:jc w:val="both"/>
        <w:spacing w:line="480" w:lineRule="auto"/>
        <w:ind w:firstLine="720"/>
      </w:pPr>
      <w:r>
        <w:rPr>
          <w:sz w:val="24"/>
          <w:szCs w:val="24"/>
          <w:rFonts w:ascii="Arial" w:hAnsi="Arial" w:cs="Arial"/>
        </w:rPr>
        <w:t>The reviewed literature establishes a robust foundation for integrating digital assessments, learner profiling, real-time speech recognition, and recommendation algorithms into modern reading recovery programs. Studies by Cadime et al. (2022) and Bete (2025) confirm that automated pre- and post-assessment modules eliminate the administrative delays of manual evaluation, providing reliable baseline metrics to track literacy progress. Complementing this, Kwon et al. (2021) and Heydarnejad et al. (2022) demonstrate that digital student profiling enables educators to organize these diagnostic records efficiently, ensuring that targeted interventions are appropriately aligned with students’ varying capabilities.</w:t>
      </w:r>
    </w:p>
    <w:p>
      <w:pPr>
        <w:jc w:val="both"/>
        <w:spacing w:line="480" w:lineRule="auto"/>
        <w:ind w:firstLine="720"/>
      </w:pPr>
      <w:r>
        <w:rPr>
          <w:sz w:val="24"/>
          <w:szCs w:val="24"/>
          <w:rFonts w:ascii="Arial" w:hAnsi="Arial" w:cs="Arial"/>
        </w:rPr>
        <w:t>Technologically, research by Moxon (2024), Gao et al. (2024), and Molenaar et al. (2023) highlights a critical shift from generic, offline transcription models to continuous, cloud-based assessment engines. While batch models like Whisper provide strong general transcription, they lack the immediate phoneme-level acoustic scoring necessary for diagnostic reading evaluation. Microsoft Azure Speech Services, through its Goodness of Pronunciation (GOP) scoring and Neural Text-to-Speech capabilities, effectively addresses this limitation by delivering real-time, objective evaluation of oral reading fluency and pronunciation accuracy. Finally, studies by Chugyawi (2024) and Heydarnejad et al. (2022) underscore that these advanced diagnostics must be paired with automated recommendation systems—such as those based on the Phil-IRI framework (Department of Education, 2018)—to translate raw acoustic data into actionable, personalized instructional pathways.</w:t>
      </w:r>
    </w:p>
    <w:p>
      <w:pPr>
        <w:jc w:val="both"/>
        <w:spacing w:line="480" w:lineRule="auto"/>
        <w:ind w:firstLine="720"/>
      </w:pPr>
      <w:r>
        <w:rPr>
          <w:sz w:val="24"/>
          <w:szCs w:val="24"/>
          <w:rFonts w:ascii="Arial" w:hAnsi="Arial" w:cs="Arial"/>
        </w:rPr>
        <w:t>Despite these advancements, a thorough analysis reveals distinct research gaps that this capstone project aims to address. Technologically, there is a lack of integrated systems combining continuous streaming Azure Speech SDK, GOP acoustic scoring, exact string alignment (difflib), and Azure Neural TTS within a unified educational web platform. Methodologically and contextually, while automated speech tools are utilized in foreign language contexts, there is a clear absence of voice-based assessment applications specifically designed to automate the DepEd Phil-IRI diagnostic framework under the mandate of the ARAL Program. Furthermore, prior research predominantly focuses on primary elementary pupils or native speakers, leaving a significant population gap regarding Grade 7–10 high school struggling readers in Philippine coastal public schools.</w:t>
      </w:r>
    </w:p>
    <w:p>
      <w:pPr>
        <w:jc w:val="both"/>
        <w:spacing w:line="480" w:lineRule="auto"/>
        <w:ind w:firstLine="720"/>
      </w:pPr>
      <w:r>
        <w:rPr>
          <w:sz w:val="24"/>
          <w:szCs w:val="24"/>
          <w:rFonts w:ascii="Arial" w:hAnsi="Arial" w:cs="Arial"/>
        </w:rPr>
        <w:t>In relation to the present study, addressing these gaps provides the core rationale for developing the voice-based reading assessment system. By integrating Microsoft Azure Speech Services with automated Phil-IRI recommendation algorithms and a centralized profiling system, this project transitions traditional manual reading assessments into an efficient, real-time digital ecosystem, directly supporting national literacy recovery goals at Barcelonita Fisheries School.</w:t>
      </w:r>
    </w:p>
    <w:p>
      <w:pPr>
        <w:jc w:val="center"/>
        <w:spacing w:line="480" w:lineRule="auto"/>
      </w:pPr>
      <w:r>
        <w:rPr>
          <w:sz w:val="24"/>
          <w:szCs w:val="24"/>
          <w:rFonts w:ascii="Arial" w:hAnsi="Arial" w:cs="Arial"/>
          <w:b/>
          <w:bCs/>
        </w:rPr>
        <w:t>NOTES</w:t>
      </w:r>
    </w:p>
    <w:p>
      <w:pPr>
        <w:jc w:val="both"/>
        <w:spacing w:line="480" w:lineRule="auto"/>
        <w:ind w:left="720" w:hanging="720"/>
      </w:pPr>
      <w:r>
        <w:rPr>
          <w:sz w:val="24"/>
          <w:szCs w:val="24"/>
          <w:rFonts w:ascii="Arial" w:hAnsi="Arial" w:cs="Arial"/>
        </w:rPr>
        <w:t>Abdulaal, M. A. A., Alenazi, M. H., Tajuddin, A. J. A., &amp; Hamidi, B. (2022). Dynamic vs. diagnostic assessment: Impacts on EFL learners’ speaking fluency and accuracy, learning anxiety, and cognitive load. Language Testing in Asia, 12(1), Article 32. https://doi.org/10.1186/s40468-022-00179-0</w:t>
      </w:r>
    </w:p>
    <w:p>
      <w:pPr>
        <w:jc w:val="both"/>
        <w:spacing w:line="480" w:lineRule="auto"/>
        <w:ind w:left="720" w:hanging="720"/>
      </w:pPr>
      <w:r>
        <w:rPr>
          <w:sz w:val="24"/>
          <w:szCs w:val="24"/>
          <w:rFonts w:ascii="Arial" w:hAnsi="Arial" w:cs="Arial"/>
        </w:rPr>
        <w:t>Bailly, G., Godde, E., Piat-Marchand, A. L., &amp; Bosse, M. L. (2022). Automatic assessment of oral readings of young pupils. Speech Communication, 138, 67–79. https://doi.org/10.1016/j.specom.2022.01.008</w:t>
      </w:r>
    </w:p>
    <w:p>
      <w:pPr>
        <w:jc w:val="both"/>
        <w:spacing w:line="480" w:lineRule="auto"/>
        <w:ind w:left="720" w:hanging="720"/>
      </w:pPr>
      <w:r>
        <w:rPr>
          <w:sz w:val="24"/>
          <w:szCs w:val="24"/>
          <w:rFonts w:ascii="Arial" w:hAnsi="Arial" w:cs="Arial"/>
        </w:rPr>
        <w:t>Bete, R. P. (2025). Bridging reading gaps: Analyzing the impact of the National Reading Program on Grade 1 to 3 learners in Kiliog Elementary School. International Journal of Research and Innovation in Social Science, 9(5), 3617–3626. https://doi.org/10.47772/IJRISS.2025.905000275</w:t>
      </w:r>
    </w:p>
    <w:p>
      <w:pPr>
        <w:jc w:val="both"/>
        <w:spacing w:line="480" w:lineRule="auto"/>
        <w:ind w:left="720" w:hanging="720"/>
      </w:pPr>
      <w:r>
        <w:rPr>
          <w:sz w:val="24"/>
          <w:szCs w:val="24"/>
          <w:rFonts w:ascii="Arial" w:hAnsi="Arial" w:cs="Arial"/>
        </w:rPr>
        <w:t>Cadime, I., Ribeiro, I., Cruz, J., Santos, S., Viana, F. L., &amp; Chaves-Sousa, S. (2022). An intervention in reading disabilities using a digital tool during the COVID-19 pandemic. Frontiers in Psychology, 13, Article 876485. https://doi.org/10.3389/fpsyg.2022.876485</w:t>
      </w:r>
    </w:p>
    <w:p>
      <w:pPr>
        <w:jc w:val="both"/>
        <w:spacing w:line="480" w:lineRule="auto"/>
        <w:ind w:left="720" w:hanging="720"/>
      </w:pPr>
      <w:r>
        <w:rPr>
          <w:sz w:val="24"/>
          <w:szCs w:val="24"/>
          <w:rFonts w:ascii="Arial" w:hAnsi="Arial" w:cs="Arial"/>
        </w:rPr>
        <w:t>Chugyawi, C. L. (2024). Navigating Linguistic Challenges: Analyzing Oral Reading Miscues of Multilingual Learners. International Journal of Research Publication, 156(1), 171–177. https://doi.org/10.47119/IJRP100142120246112</w:t>
      </w:r>
    </w:p>
    <w:p>
      <w:pPr>
        <w:jc w:val="both"/>
        <w:spacing w:line="480" w:lineRule="auto"/>
        <w:ind w:left="720" w:hanging="720"/>
      </w:pPr>
      <w:r>
        <w:rPr>
          <w:sz w:val="24"/>
          <w:szCs w:val="24"/>
          <w:rFonts w:ascii="Arial" w:hAnsi="Arial" w:cs="Arial"/>
        </w:rPr>
        <w:t>Congress of the Philippines. (2024). Republic Act No. 12028: Academic Recovery and Accessible Learning (ARAL) Program Act. Official Gazette of the Republic of the Philippines. https://elibrary.judiciary.gov.ph/thebookshelf/showdocs/2/97912</w:t>
      </w:r>
    </w:p>
    <w:p>
      <w:pPr>
        <w:jc w:val="both"/>
        <w:spacing w:line="480" w:lineRule="auto"/>
        <w:ind w:left="720" w:hanging="720"/>
      </w:pPr>
      <w:r>
        <w:rPr>
          <w:sz w:val="24"/>
          <w:szCs w:val="24"/>
          <w:rFonts w:ascii="Arial" w:hAnsi="Arial" w:cs="Arial"/>
        </w:rPr>
        <w:t>Department of Education. (2018). Philippine Informal Reading Inventory (Phil-IRI) manual for Grade 1 to Grade 6. Department of Education. https://www.deped.gov.ph/wp-content/uploads/2018/07/Phil-IRI-Manual-v3.pdf</w:t>
      </w:r>
    </w:p>
    <w:p>
      <w:pPr>
        <w:jc w:val="both"/>
        <w:spacing w:line="480" w:lineRule="auto"/>
        <w:ind w:left="720" w:hanging="720"/>
      </w:pPr>
      <w:r>
        <w:rPr>
          <w:sz w:val="24"/>
          <w:szCs w:val="24"/>
          <w:rFonts w:ascii="Arial" w:hAnsi="Arial" w:cs="Arial"/>
        </w:rPr>
        <w:t>Gao, L., Tejedor-Garcia, C., Strik, H., &amp; Cucchiarini, C. (2024). Reading miscue detection in primary school through automatic speech recognition. In Proceedings of Interspeech 2024 (pp. 3704–3708). ISCA. https://doi.org/10.21437/Interspeech.2024-1180</w:t>
      </w:r>
    </w:p>
    <w:p>
      <w:pPr>
        <w:jc w:val="both"/>
        <w:spacing w:line="480" w:lineRule="auto"/>
        <w:ind w:left="720" w:hanging="720"/>
      </w:pPr>
      <w:r>
        <w:rPr>
          <w:sz w:val="24"/>
          <w:szCs w:val="24"/>
          <w:rFonts w:ascii="Arial" w:hAnsi="Arial" w:cs="Arial"/>
        </w:rPr>
        <w:t>Heydarnejad, T., Tagavipour, F., &amp; Patra, I. (2022). The impacts of performance-based assessment on reading comprehension achievement, academic motivation, foreign language anxiety, and students’ self-efficacy. Language Testing in Asia, 12(1), Article 51. https://doi.org/10.1186/s40468-022-00202-4</w:t>
      </w:r>
    </w:p>
    <w:p>
      <w:pPr>
        <w:jc w:val="both"/>
        <w:spacing w:line="480" w:lineRule="auto"/>
        <w:ind w:left="720" w:hanging="720"/>
      </w:pPr>
      <w:r>
        <w:rPr>
          <w:sz w:val="24"/>
          <w:szCs w:val="24"/>
          <w:rFonts w:ascii="Arial" w:hAnsi="Arial" w:cs="Arial"/>
        </w:rPr>
        <w:t>Inceoglu, S., Chen, W.-H., &amp; Lim, H. (2023). Assessment of L2 intelligibility: Comparing L1 listeners and automatic speech recognition. ReCALL, 35(1), 89–104. https://doi.org/10.1017/S0958344022000192</w:t>
      </w:r>
    </w:p>
    <w:p>
      <w:pPr>
        <w:jc w:val="both"/>
        <w:spacing w:line="480" w:lineRule="auto"/>
        <w:ind w:left="720" w:hanging="720"/>
      </w:pPr>
      <w:r>
        <w:rPr>
          <w:sz w:val="24"/>
          <w:szCs w:val="24"/>
          <w:rFonts w:ascii="Arial" w:hAnsi="Arial" w:cs="Arial"/>
        </w:rPr>
        <w:t>Iyare, N. F., James, J., &amp; Amonde, T. M. (2018). The effectiveness of integrating interactive technology in reading comprehension: A case study of Jamaica's grade school. Journal of Information Technology Education: Research, 17, 227–246. https://doi.org/10.28945/4098</w:t>
      </w:r>
    </w:p>
    <w:p>
      <w:pPr>
        <w:jc w:val="both"/>
        <w:spacing w:line="480" w:lineRule="auto"/>
        <w:ind w:left="720" w:hanging="720"/>
      </w:pPr>
      <w:r>
        <w:rPr>
          <w:sz w:val="24"/>
          <w:szCs w:val="24"/>
          <w:rFonts w:ascii="Arial" w:hAnsi="Arial" w:cs="Arial"/>
        </w:rPr>
        <w:t>Kim, E., Jeon, J.-J., Seo, H., &amp; Kim, H. (2022). Automatic pronunciation assessment using self-supervised speech representation learning. Proceedings of Interspeech 2022, 1411–1415. https://doi.org/10.21437/Interspeech.2022-10245</w:t>
      </w:r>
    </w:p>
    <w:p>
      <w:pPr>
        <w:jc w:val="both"/>
        <w:spacing w:line="480" w:lineRule="auto"/>
        <w:ind w:left="720" w:hanging="720"/>
      </w:pPr>
      <w:r>
        <w:rPr>
          <w:sz w:val="24"/>
          <w:szCs w:val="24"/>
          <w:rFonts w:ascii="Arial" w:hAnsi="Arial" w:cs="Arial"/>
        </w:rPr>
        <w:t>Kwon, S., Kim, W., Bae, C., Cho, M., Lee, S., &amp; Dreamson, N. (2021). The identity changes in online learning and teaching: Instructors, learners, and learning management systems. International Journal of Educational Technology in Higher Education, 18(1), Article 67. https://doi.org/10.1186/s41239-021-00304-8</w:t>
      </w:r>
    </w:p>
    <w:p>
      <w:pPr>
        <w:jc w:val="both"/>
        <w:spacing w:line="480" w:lineRule="auto"/>
        <w:ind w:left="720" w:hanging="720"/>
      </w:pPr>
      <w:r>
        <w:rPr>
          <w:sz w:val="24"/>
          <w:szCs w:val="24"/>
          <w:rFonts w:ascii="Arial" w:hAnsi="Arial" w:cs="Arial"/>
        </w:rPr>
        <w:t>Microsoft Azure. (2025). Pronunciation assessment documentation and developer guide. Microsoft Learn. https://learn.microsoft.com/en-us/azure/ai-services/speech-service/how-to-pronunciation-assessment</w:t>
      </w:r>
    </w:p>
    <w:p>
      <w:pPr>
        <w:jc w:val="both"/>
        <w:spacing w:line="480" w:lineRule="auto"/>
        <w:ind w:left="720" w:hanging="720"/>
      </w:pPr>
      <w:r>
        <w:rPr>
          <w:sz w:val="24"/>
          <w:szCs w:val="24"/>
          <w:rFonts w:ascii="Arial" w:hAnsi="Arial" w:cs="Arial"/>
        </w:rPr>
        <w:t>Molenaar, B., Tejedor-Garcia, C., Cucchiarini, C., &amp; Strik, H. (2023). Automatic assessment of oral reading accuracy for reading diagnostics. Proceedings of Interspeech 2023, 5232–5236. https://doi.org/10.21437/Interspeech.2023-1681</w:t>
      </w:r>
    </w:p>
    <w:p>
      <w:pPr>
        <w:jc w:val="both"/>
        <w:spacing w:line="480" w:lineRule="auto"/>
        <w:ind w:left="720" w:hanging="720"/>
      </w:pPr>
      <w:r>
        <w:rPr>
          <w:sz w:val="24"/>
          <w:szCs w:val="24"/>
          <w:rFonts w:ascii="Arial" w:hAnsi="Arial" w:cs="Arial"/>
        </w:rPr>
        <w:t>Moxon, S. (2024). All-Talk: Enhancing EFL pronunciation with Microsoft Azure Speech Services. ABAC Journal, 44(4), 139–161. https://doi.org/10.59865/abacj.2024.58</w:t>
      </w:r>
    </w:p>
    <w:p>
      <w:pPr>
        <w:jc w:val="both"/>
        <w:spacing w:line="480" w:lineRule="auto"/>
        <w:ind w:left="720" w:hanging="720"/>
      </w:pPr>
      <w:r>
        <w:rPr>
          <w:sz w:val="24"/>
          <w:szCs w:val="24"/>
          <w:rFonts w:ascii="Arial" w:hAnsi="Arial" w:cs="Arial"/>
        </w:rPr>
        <w:t>Pocaan, J. M., Bailon, L. L., &amp; Pocaan, J. P. T. (2022). Strategic reading intervention for left-behind learners in the Philippines. LLT Journal: A Journal on Language and Language Teaching, 25(2), 367–378. https://doi.org/10.24071/llt.v25i2.5087</w:t>
      </w:r>
    </w:p>
    <w:p>
      <w:pPr>
        <w:jc w:val="both"/>
        <w:spacing w:line="480" w:lineRule="auto"/>
        <w:ind w:left="720" w:hanging="720"/>
      </w:pPr>
      <w:r>
        <w:rPr>
          <w:sz w:val="24"/>
          <w:szCs w:val="24"/>
          <w:rFonts w:ascii="Arial" w:hAnsi="Arial" w:cs="Arial"/>
        </w:rPr>
        <w:t>Python Software Foundation. (2024). difflib — Helpers for computing deltas. Python 3.13.1 Documentation. https://docs.python.org/3/library/difflib.html</w:t>
      </w:r>
    </w:p>
    <w:p>
      <w:pPr>
        <w:jc w:val="both"/>
        <w:spacing w:line="480" w:lineRule="auto"/>
        <w:ind w:left="720" w:hanging="720"/>
      </w:pPr>
      <w:r>
        <w:rPr>
          <w:sz w:val="24"/>
          <w:szCs w:val="24"/>
          <w:rFonts w:ascii="Arial" w:hAnsi="Arial" w:cs="Arial"/>
        </w:rPr>
        <w:t>Radford, A., Kim, J. W., Xu, T., Brockman, G., McLeavey, C., &amp; Sutskever, I. (2023). Robust speech recognition via large-scale weak supervision. In Proceedings of the 40th International Conference on Machine Learning (pp. 28492–28518). PMLR. https://proceedings.mlr.press/v202/radford23a.html</w:t>
      </w:r>
    </w:p>
    <w:p>
      <w:pPr>
        <w:jc w:val="both"/>
        <w:spacing w:line="480" w:lineRule="auto"/>
        <w:ind w:left="720" w:hanging="720"/>
      </w:pPr>
      <w:r>
        <w:rPr>
          <w:sz w:val="24"/>
          <w:szCs w:val="24"/>
          <w:rFonts w:ascii="Arial" w:hAnsi="Arial" w:cs="Arial"/>
        </w:rPr>
        <w:t>Ritonga, M., Tazik, K., Omar, A., &amp; Saberi Dehkordi, E. (2022). Assessment and language improvement: The effect of peer assessment (PA) on reading comprehension, reading motivation, and vocabulary learning among EFL learners. Language Testing in Asia, 12(1), Article 36. https://doi.org/10.1186/s40468-022-00188-z</w:t>
      </w:r>
    </w:p>
    <w:p>
      <w:pPr>
        <w:jc w:val="both"/>
        <w:spacing w:line="480" w:lineRule="auto"/>
        <w:ind w:left="720" w:hanging="720"/>
      </w:pPr>
      <w:r>
        <w:rPr>
          <w:sz w:val="24"/>
          <w:szCs w:val="24"/>
          <w:rFonts w:ascii="Arial" w:hAnsi="Arial" w:cs="Arial"/>
        </w:rPr>
        <w:t>Saito, K., Macmillan, K., Kachlicka, M., Kunihara, T., &amp; Minematsu, N. (2023). Automated assessment of second language comprehensibility: Review, training, validation, and generalization studies. Studies in Second Language Acquisition, 45(1), 234–263. https://doi.org/10.1017/S0272263122000080</w:t>
      </w:r>
    </w:p>
    <w:p>
      <w:pPr>
        <w:jc w:val="both"/>
        <w:spacing w:line="480" w:lineRule="auto"/>
        <w:ind w:left="720" w:hanging="720"/>
      </w:pPr>
      <w:r>
        <w:rPr>
          <w:sz w:val="24"/>
          <w:szCs w:val="24"/>
          <w:rFonts w:ascii="Arial" w:hAnsi="Arial" w:cs="Arial"/>
        </w:rPr>
        <w:t>Witt, S. M., &amp; Young, S. J. (2000). Phone-level pronunciation scoring and assessment for interactive language learning. Speech Communication, 30(2-3), 95–108. https://doi.org/10.1016/S0167-6393(99)00044-8</w:t>
      </w:r>
    </w:p>
    <w:p>
      <w:pPr>
        <w:jc w:val="both"/>
        <w:spacing w:line="480" w:lineRule="auto"/>
        <w:ind w:left="720" w:hanging="720"/>
      </w:pPr>
      <w:r>
        <w:rPr>
          <w:sz w:val="24"/>
          <w:szCs w:val="24"/>
          <w:rFonts w:ascii="Arial" w:hAnsi="Arial" w:cs="Arial"/>
        </w:rPr>
        <w:t>Zhang, J., Zhang, Z., Wang, Y., Yan, Z., Song, Q., Huang, Y., Li, K., Povey, D., &amp; Wang, Y. (2021). speechocean762: An open-source non-native English speech corpus for pronunciation assessment. In Proceedings of Interspeech 2021 (pp. 3710–3714). ISCA. https://doi.org/10.21437/Interspeech.2021-1259</w:t>
      </w:r>
    </w:p>
    <w:sectPr>
      <w:pgSz w:w="12240" w:h="15840"/>
      <w:pgMar w:top="13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12" w:hanging="361"/>
      </w:pPr>
      <w:rPr>
        <w:rFonts w:hint="default"/>
        <w:lang w:val="en-US" w:eastAsia="en-US" w:bidi="ar-SA"/>
      </w:rPr>
    </w:lvl>
    <w:lvl w:ilvl="2">
      <w:start w:val="0"/>
      <w:numFmt w:val="bullet"/>
      <w:lvlText w:val="•"/>
      <w:lvlJc w:val="left"/>
      <w:pPr>
        <w:ind w:left="664" w:hanging="361"/>
      </w:pPr>
      <w:rPr>
        <w:rFonts w:hint="default"/>
        <w:lang w:val="en-US" w:eastAsia="en-US" w:bidi="ar-SA"/>
      </w:rPr>
    </w:lvl>
    <w:lvl w:ilvl="3">
      <w:start w:val="0"/>
      <w:numFmt w:val="bullet"/>
      <w:lvlText w:val="•"/>
      <w:lvlJc w:val="left"/>
      <w:pPr>
        <w:ind w:left="817" w:hanging="361"/>
      </w:pPr>
      <w:rPr>
        <w:rFonts w:hint="default"/>
        <w:lang w:val="en-US" w:eastAsia="en-US" w:bidi="ar-SA"/>
      </w:rPr>
    </w:lvl>
    <w:lvl w:ilvl="4">
      <w:start w:val="0"/>
      <w:numFmt w:val="bullet"/>
      <w:lvlText w:val="•"/>
      <w:lvlJc w:val="left"/>
      <w:pPr>
        <w:ind w:left="969" w:hanging="361"/>
      </w:pPr>
      <w:rPr>
        <w:rFonts w:hint="default"/>
        <w:lang w:val="en-US" w:eastAsia="en-US" w:bidi="ar-SA"/>
      </w:rPr>
    </w:lvl>
    <w:lvl w:ilvl="5">
      <w:start w:val="0"/>
      <w:numFmt w:val="bullet"/>
      <w:lvlText w:val="•"/>
      <w:lvlJc w:val="left"/>
      <w:pPr>
        <w:ind w:left="1122" w:hanging="361"/>
      </w:pPr>
      <w:rPr>
        <w:rFonts w:hint="default"/>
        <w:lang w:val="en-US" w:eastAsia="en-US" w:bidi="ar-SA"/>
      </w:rPr>
    </w:lvl>
    <w:lvl w:ilvl="6">
      <w:start w:val="0"/>
      <w:numFmt w:val="bullet"/>
      <w:lvlText w:val="•"/>
      <w:lvlJc w:val="left"/>
      <w:pPr>
        <w:ind w:left="1274" w:hanging="361"/>
      </w:pPr>
      <w:rPr>
        <w:rFonts w:hint="default"/>
        <w:lang w:val="en-US" w:eastAsia="en-US" w:bidi="ar-SA"/>
      </w:rPr>
    </w:lvl>
    <w:lvl w:ilvl="7">
      <w:start w:val="0"/>
      <w:numFmt w:val="bullet"/>
      <w:lvlText w:val="•"/>
      <w:lvlJc w:val="left"/>
      <w:pPr>
        <w:ind w:left="1427" w:hanging="361"/>
      </w:pPr>
      <w:rPr>
        <w:rFonts w:hint="default"/>
        <w:lang w:val="en-US" w:eastAsia="en-US" w:bidi="ar-SA"/>
      </w:rPr>
    </w:lvl>
    <w:lvl w:ilvl="8">
      <w:start w:val="0"/>
      <w:numFmt w:val="bullet"/>
      <w:lvlText w:val="•"/>
      <w:lvlJc w:val="left"/>
      <w:pPr>
        <w:ind w:left="1579" w:hanging="361"/>
      </w:pPr>
      <w:rPr>
        <w:rFonts w:hint="default"/>
        <w:lang w:val="en-US" w:eastAsia="en-US" w:bidi="ar-SA"/>
      </w:rPr>
    </w:lvl>
  </w:abstractNum>
  <w:abstractNum w:abstractNumId="0">
    <w:multiLevelType w:val="hybridMultilevel"/>
    <w:lvl w:ilvl="0">
      <w:start w:val="1"/>
      <w:numFmt w:val="decimal"/>
      <w:lvlText w:val="%1."/>
      <w:lvlJc w:val="left"/>
      <w:pPr>
        <w:ind w:left="1441" w:hanging="360"/>
        <w:jc w:val="left"/>
      </w:pPr>
      <w:rPr>
        <w:rFonts w:hint="default" w:ascii="Arial MT" w:hAnsi="Arial MT" w:eastAsia="Arial MT" w:cs="Arial MT"/>
        <w:b w:val="0"/>
        <w:bCs w:val="0"/>
        <w:i w:val="0"/>
        <w:iCs w:val="0"/>
        <w:spacing w:val="-2"/>
        <w:w w:val="100"/>
        <w:sz w:val="24"/>
        <w:szCs w:val="24"/>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360"/>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9"/>
      <w:ind w:right="361"/>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0"/>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41" w:right="365" w:hanging="360"/>
      <w:jc w:val="both"/>
    </w:pPr>
    <w:rPr>
      <w:rFonts w:ascii="Arial MT" w:hAnsi="Arial MT" w:eastAsia="Arial MT" w:cs="Arial MT"/>
      <w:lang w:val="en-US" w:eastAsia="en-US" w:bidi="ar-SA"/>
    </w:rPr>
  </w:style>
  <w:style w:styleId="TableParagraph" w:type="paragraph">
    <w:name w:val="Table Paragraph"/>
    <w:basedOn w:val="Normal"/>
    <w:uiPriority w:val="1"/>
    <w:qFormat/>
    <w:pPr>
      <w:spacing w:line="254" w:lineRule="exact"/>
      <w:ind w:left="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doi/" TargetMode="External"/><Relationship Id="rId15" Type="http://schemas.openxmlformats.org/officeDocument/2006/relationships/hyperlink" Target="https://doi.org/10.3389/fpsyg.2022.876485" TargetMode="External"/><Relationship Id="rId16" Type="http://schemas.openxmlformats.org/officeDocument/2006/relationships/hyperlink" Target="https://doi.org/10.3102/0013189X231153112" TargetMode="External"/><Relationship Id="rId17" Type="http://schemas.openxmlformats.org/officeDocument/2006/relationships/hyperlink" Target="https://ed.stanford.edu/news/new-stanford-study-sheds-light-how-much-learning-young-students-have-lost-during-stages" TargetMode="External"/><Relationship Id="rId18" Type="http://schemas.openxmlformats.org/officeDocument/2006/relationships/hyperlink" Target="https://elibrary.judiciary.gov.ph/thebookshelf/showdocs/2/97912" TargetMode="External"/><Relationship Id="rId19" Type="http://schemas.openxmlformats.org/officeDocument/2006/relationships/hyperlink" Target="https://www.ibm.com/think/topics/artificial-intelligence" TargetMode="External"/><Relationship Id="rId20" Type="http://schemas.openxmlformats.org/officeDocument/2006/relationships/hyperlink" Target="https://dictionary.cambridge/" TargetMode="External"/><Relationship Id="rId21" Type="http://schemas.openxmlformats.org/officeDocument/2006/relationships/hyperlink" Target="http://dssresources.com/history/dsshistory.html" TargetMode="External"/><Relationship Id="rId22" Type="http://schemas.openxmlformats.org/officeDocument/2006/relationships/hyperlink" Target="https://github.com/SYSTRAN/" TargetMode="External"/><Relationship Id="rId23" Type="http://schemas.openxmlformats.org/officeDocument/2006/relationships/hyperlink" Target="https://www.geeksforgeeks.org/jaro-and-jaro-winkler-similarity/" TargetMode="External"/><Relationship Id="rId24" Type="http://schemas.openxmlformats.org/officeDocument/2006/relationships/hyperlink" Target="https://tilores.io/metaphone-phonetic-algorithm-online-tool" TargetMode="External"/><Relationship Id="rId25" Type="http://schemas.openxmlformats.org/officeDocument/2006/relationships/hyperlink" Target="https://www.superannotate.com/" TargetMode="External"/><Relationship Id="rId26" Type="http://schemas.openxmlformats.org/officeDocument/2006/relationships/hyperlink" Target="https://www.researchgate.net/publication/389891863_RealTime_Fee%20dback_Systems_in_Assistive_E_Learning_A_Step_Toward_Inclusive_Education" TargetMode="External"/><Relationship Id="rId27" Type="http://schemas.openxmlformats.org/officeDocument/2006/relationships/hyperlink" Target="https://www.ibm.com/think/topics/speech-to-text" TargetMode="External"/><Relationship Id="rId28" Type="http://schemas.openxmlformats.org/officeDocument/2006/relationships/hyperlink" Target="https://www.ibm.com/think/topics/zero-shot-learning" TargetMode="External"/><Relationship Id="rId29" Type="http://schemas.openxmlformats.org/officeDocument/2006/relationships/hyperlink" Target="https://link.springer/" TargetMode="External"/><Relationship Id="rId30" Type="http://schemas.openxmlformats.org/officeDocument/2006/relationships/hyperlink" Target="https://arxiv.org/abs/2210.01823" TargetMode="External"/><Relationship Id="rId31" Type="http://schemas.openxmlformats.org/officeDocument/2006/relationships/hyperlink" Target="https://link.springer.com/article/10.1186/s40468-022-00188-z" TargetMode="External"/><Relationship Id="rId32" Type="http://schemas.openxmlformats.org/officeDocument/2006/relationships/hyperlink" Target="https://link.springer.com/article/10.1186/s40468-022-00179-0" TargetMode="External"/><Relationship Id="rId33" Type="http://schemas.openxmlformats.org/officeDocument/2006/relationships/hyperlink" Target="https://link.springer.com/article/10.1186/s41239-021-00304-8" TargetMode="External"/><Relationship Id="rId34" Type="http://schemas.openxmlformats.org/officeDocument/2006/relationships/hyperlink" Target="https://arxiv.org/abs/2306.03444" TargetMode="External"/><Relationship Id="rId35" Type="http://schemas.openxmlformats.org/officeDocument/2006/relationships/hyperlink" Target="https://www/" TargetMode="External"/><Relationship Id="rId36" Type="http://schemas.openxmlformats.org/officeDocument/2006/relationships/hyperlink" Target="https://www.cambridge.org/core/%20journals/recall/article/abs/assessment-of-l2-intelligibility-comparing-l1-listeners-and-automatic-speech-recognition/7E499AD990383AC65A9688BB5BE17887" TargetMode="External"/><Relationship Id="rId37" Type="http://schemas.openxmlformats.org/officeDocument/2006/relationships/hyperlink" Target="https://arxiv.org/abs/2204.03863" TargetMode="External"/><Relationship Id="rId38" Type="http://schemas.openxmlformats.org/officeDocument/2006/relationships/hyperlink" Target="https://www.cambridge.org/core/journals/studies-in-second-language-acquisition/article/automat%20ed-assessment-of-second-language-comprehensibility-review-training-vali%20dation-and-generalization-studies/ED850D916818C7ABA23EA1CA8CF%208A590" TargetMode="External"/><Relationship Id="rId39" Type="http://schemas.openxmlformats.org/officeDocument/2006/relationships/image" Target="media/image10.jpeg"/><Relationship Id="rId40" Type="http://schemas.openxmlformats.org/officeDocument/2006/relationships/image" Target="media/image11.jpeg"/><Relationship Id="rId41" Type="http://schemas.openxmlformats.org/officeDocument/2006/relationships/image" Target="media/image12.png"/><Relationship Id="rId42" Type="http://schemas.openxmlformats.org/officeDocument/2006/relationships/image" Target="media/image13.jpeg"/><Relationship Id="rId43" Type="http://schemas.openxmlformats.org/officeDocument/2006/relationships/image" Target="media/image14.jpe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s://medium.com/%40nld.anuradha/the-iterative-model-in-sdlc-a-practical-approach-to-software-development-a8eebf87fda7" TargetMode="External"/><Relationship Id="rId52" Type="http://schemas.openxmlformats.org/officeDocument/2006/relationships/hyperlink" Target="https://www.researchgate.net/publication/375266501_Comparative_Analysis_of_Software_Development_Lifecycle_Methods_in_Software_Development_A_Systematic_Literature_Review"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researchoffice</dc:creator>
  <dcterms:created xsi:type="dcterms:W3CDTF">2026-08-31T05:19:47Z</dcterms:created>
  <dcterms:modified xsi:type="dcterms:W3CDTF">2026-08-31T05:19:47Z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