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B35" w:rsidRDefault="00C074B1" w:rsidP="00C074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Apuntes Taller Final – Modulo 3: Coding para procesamiento de Datos</w:t>
      </w:r>
    </w:p>
    <w:p w:rsidR="00C074B1" w:rsidRPr="00C074B1" w:rsidRDefault="00C074B1" w:rsidP="00C074B1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C074B1" w:rsidRDefault="00C074B1" w:rsidP="00C074B1">
      <w:pPr>
        <w:spacing w:after="0"/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074B1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Exploración </w:t>
      </w:r>
      <w:proofErr w:type="spellStart"/>
      <w:r w:rsidRPr="00C074B1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df</w:t>
      </w:r>
      <w:proofErr w:type="spellEnd"/>
      <w:r w:rsidRPr="00C074B1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comportamiento tarjetas</w:t>
      </w:r>
    </w:p>
    <w:p w:rsidR="00C074B1" w:rsidRPr="00C074B1" w:rsidRDefault="00C074B1" w:rsidP="00C074B1">
      <w:pPr>
        <w:spacing w:after="0"/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C074B1" w:rsidRPr="00C074B1" w:rsidRDefault="00C074B1" w:rsidP="00C074B1">
      <w:pPr>
        <w:spacing w:after="0"/>
        <w:jc w:val="both"/>
        <w:rPr>
          <w:rFonts w:ascii="Arial" w:hAnsi="Arial" w:cs="Arial"/>
          <w:sz w:val="20"/>
          <w:szCs w:val="20"/>
        </w:rPr>
      </w:pPr>
      <w:r w:rsidRPr="00C074B1">
        <w:rPr>
          <w:rFonts w:ascii="Arial" w:hAnsi="Arial" w:cs="Arial"/>
          <w:sz w:val="20"/>
          <w:szCs w:val="20"/>
        </w:rPr>
        <w:t>Hallazgos:</w:t>
      </w:r>
    </w:p>
    <w:p w:rsidR="00C074B1" w:rsidRPr="00C074B1" w:rsidRDefault="00C074B1" w:rsidP="00C074B1">
      <w:pPr>
        <w:pStyle w:val="HTMLconformatoprevio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212121"/>
        </w:rPr>
      </w:pPr>
      <w:r w:rsidRPr="00C074B1">
        <w:rPr>
          <w:rFonts w:ascii="Arial" w:hAnsi="Arial" w:cs="Arial"/>
        </w:rPr>
        <w:t xml:space="preserve">Hay </w:t>
      </w:r>
      <w:r w:rsidRPr="00C074B1">
        <w:rPr>
          <w:rFonts w:ascii="Arial" w:hAnsi="Arial" w:cs="Arial"/>
          <w:color w:val="212121"/>
        </w:rPr>
        <w:t>1048575 observaciones de las cuales 209230 tienen la columna dias vencidos en nulo. Equivale al 20%</w:t>
      </w:r>
    </w:p>
    <w:p w:rsidR="00C074B1" w:rsidRPr="00C074B1" w:rsidRDefault="00C074B1" w:rsidP="00C074B1">
      <w:pPr>
        <w:pStyle w:val="HTMLconformatoprevio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212121"/>
        </w:rPr>
      </w:pPr>
      <w:r w:rsidRPr="00C074B1">
        <w:rPr>
          <w:rFonts w:ascii="Arial" w:hAnsi="Arial" w:cs="Arial"/>
          <w:color w:val="212121"/>
          <w:shd w:val="clear" w:color="auto" w:fill="FFFFFF"/>
        </w:rPr>
        <w:t>De un total de 45,985 clientes con comportamiento del manejo de tarjeta, 25,005 clientes tienen al menos un campo nulo en dias vencidos.</w:t>
      </w:r>
      <w:r w:rsidRPr="00C074B1">
        <w:rPr>
          <w:rFonts w:ascii="Arial" w:hAnsi="Arial" w:cs="Arial"/>
          <w:color w:val="212121"/>
        </w:rPr>
        <w:t xml:space="preserve"> </w:t>
      </w:r>
    </w:p>
    <w:p w:rsidR="00C074B1" w:rsidRDefault="00C074B1" w:rsidP="00C074B1">
      <w:pPr>
        <w:spacing w:after="0"/>
        <w:jc w:val="both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</w:p>
    <w:p w:rsidR="00C074B1" w:rsidRPr="00C074B1" w:rsidRDefault="00C074B1" w:rsidP="00C074B1">
      <w:pPr>
        <w:spacing w:after="0"/>
        <w:jc w:val="both"/>
        <w:rPr>
          <w:rFonts w:ascii="Arial" w:hAnsi="Arial" w:cs="Arial"/>
          <w:sz w:val="20"/>
          <w:szCs w:val="20"/>
        </w:rPr>
      </w:pPr>
      <w:r w:rsidRPr="00C074B1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Opino que debemos considerar todas las observaciones para definir el tipo de pagador, toda vez que podemos asegurar un mal comportamiento con información cierta. Y la información faltante de dias vencidos transcurridos podría ser MNAR (Missing not at </w:t>
      </w:r>
      <w:proofErr w:type="spellStart"/>
      <w:r w:rsidRPr="00C074B1">
        <w:rPr>
          <w:rFonts w:ascii="Arial" w:hAnsi="Arial" w:cs="Arial"/>
          <w:color w:val="212121"/>
          <w:sz w:val="20"/>
          <w:szCs w:val="20"/>
          <w:shd w:val="clear" w:color="auto" w:fill="FFFFFF"/>
        </w:rPr>
        <w:t>random</w:t>
      </w:r>
      <w:proofErr w:type="spellEnd"/>
      <w:r w:rsidRPr="00C074B1">
        <w:rPr>
          <w:rFonts w:ascii="Arial" w:hAnsi="Arial" w:cs="Arial"/>
          <w:color w:val="212121"/>
          <w:sz w:val="20"/>
          <w:szCs w:val="20"/>
          <w:shd w:val="clear" w:color="auto" w:fill="FFFFFF"/>
        </w:rPr>
        <w:t>), es decir que no han estado en vencido en ese mes ni con pago en el día de vencimiento que sería el 0.</w:t>
      </w:r>
    </w:p>
    <w:p w:rsidR="00C074B1" w:rsidRDefault="00C074B1" w:rsidP="00C074B1">
      <w:pPr>
        <w:spacing w:after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C074B1" w:rsidRPr="00C074B1" w:rsidRDefault="00C074B1" w:rsidP="00C074B1">
      <w:pPr>
        <w:spacing w:after="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C074B1">
        <w:rPr>
          <w:rFonts w:ascii="Arial" w:hAnsi="Arial" w:cs="Arial"/>
          <w:b/>
          <w:sz w:val="20"/>
          <w:szCs w:val="20"/>
          <w:u w:val="single"/>
        </w:rPr>
        <w:t xml:space="preserve">Definiendo la </w:t>
      </w:r>
      <w:proofErr w:type="gramStart"/>
      <w:r w:rsidRPr="00C074B1">
        <w:rPr>
          <w:rFonts w:ascii="Arial" w:hAnsi="Arial" w:cs="Arial"/>
          <w:b/>
          <w:sz w:val="20"/>
          <w:szCs w:val="20"/>
          <w:u w:val="single"/>
        </w:rPr>
        <w:t>etiqueta mal pagador</w:t>
      </w:r>
      <w:proofErr w:type="gramEnd"/>
    </w:p>
    <w:p w:rsidR="00C074B1" w:rsidRDefault="00C074B1" w:rsidP="00C074B1">
      <w:pPr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074B1" w:rsidRPr="00C074B1" w:rsidRDefault="00C074B1" w:rsidP="00C074B1">
      <w:pPr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074B1">
        <w:rPr>
          <w:rFonts w:ascii="Arial" w:hAnsi="Arial" w:cs="Arial"/>
          <w:color w:val="000000"/>
          <w:sz w:val="20"/>
          <w:szCs w:val="20"/>
          <w:shd w:val="clear" w:color="auto" w:fill="FFFFFF"/>
        </w:rPr>
        <w:t>Existen cuatro categorías de pagadores:</w:t>
      </w:r>
    </w:p>
    <w:p w:rsidR="00C074B1" w:rsidRPr="00C074B1" w:rsidRDefault="00C074B1" w:rsidP="00C074B1">
      <w:pPr>
        <w:spacing w:after="0"/>
        <w:jc w:val="both"/>
        <w:rPr>
          <w:rFonts w:ascii="Arial" w:hAnsi="Arial" w:cs="Arial"/>
          <w:sz w:val="20"/>
          <w:szCs w:val="20"/>
        </w:rPr>
      </w:pPr>
      <w:r w:rsidRPr="00C074B1">
        <w:rPr>
          <w:rFonts w:ascii="Arial" w:hAnsi="Arial" w:cs="Arial"/>
          <w:color w:val="000000"/>
          <w:sz w:val="20"/>
          <w:szCs w:val="20"/>
          <w:shd w:val="clear" w:color="auto" w:fill="FFFFFF"/>
        </w:rPr>
        <w:t>a) Los que quieren y pueden pagar. – buen pagador</w:t>
      </w:r>
    </w:p>
    <w:p w:rsidR="00C074B1" w:rsidRPr="00C074B1" w:rsidRDefault="00C074B1" w:rsidP="00C074B1">
      <w:pPr>
        <w:spacing w:after="0"/>
        <w:jc w:val="both"/>
        <w:rPr>
          <w:rFonts w:ascii="Arial" w:hAnsi="Arial" w:cs="Arial"/>
          <w:sz w:val="20"/>
          <w:szCs w:val="20"/>
        </w:rPr>
      </w:pPr>
      <w:r w:rsidRPr="00C074B1">
        <w:rPr>
          <w:rFonts w:ascii="Arial" w:hAnsi="Arial" w:cs="Arial"/>
          <w:color w:val="000000"/>
          <w:sz w:val="20"/>
          <w:szCs w:val="20"/>
          <w:shd w:val="clear" w:color="auto" w:fill="FFFFFF"/>
        </w:rPr>
        <w:t>b) Los que quieren pagar, pero por diferentes circunstancias no pueden hacerlo. – mal pagador o buen pagador.</w:t>
      </w:r>
    </w:p>
    <w:p w:rsidR="00C074B1" w:rsidRPr="00C074B1" w:rsidRDefault="00C074B1" w:rsidP="00C074B1">
      <w:pPr>
        <w:spacing w:after="0"/>
        <w:jc w:val="both"/>
        <w:rPr>
          <w:rFonts w:ascii="Arial" w:hAnsi="Arial" w:cs="Arial"/>
          <w:sz w:val="20"/>
          <w:szCs w:val="20"/>
        </w:rPr>
      </w:pPr>
      <w:r w:rsidRPr="00C074B1">
        <w:rPr>
          <w:rFonts w:ascii="Arial" w:hAnsi="Arial" w:cs="Arial"/>
          <w:color w:val="000000"/>
          <w:sz w:val="20"/>
          <w:szCs w:val="20"/>
          <w:shd w:val="clear" w:color="auto" w:fill="FFFFFF"/>
        </w:rPr>
        <w:t>c) Los que pudiendo pagar deciden no hacerlo. – mal pagador.</w:t>
      </w:r>
    </w:p>
    <w:p w:rsidR="00C074B1" w:rsidRPr="00C074B1" w:rsidRDefault="00C074B1" w:rsidP="00C074B1">
      <w:pPr>
        <w:spacing w:after="0"/>
        <w:jc w:val="both"/>
        <w:rPr>
          <w:rFonts w:ascii="Arial" w:hAnsi="Arial" w:cs="Arial"/>
          <w:sz w:val="20"/>
          <w:szCs w:val="20"/>
        </w:rPr>
      </w:pPr>
      <w:r w:rsidRPr="00C074B1">
        <w:rPr>
          <w:rFonts w:ascii="Arial" w:hAnsi="Arial" w:cs="Arial"/>
          <w:color w:val="000000"/>
          <w:sz w:val="20"/>
          <w:szCs w:val="20"/>
          <w:shd w:val="clear" w:color="auto" w:fill="FFFFFF"/>
        </w:rPr>
        <w:t>d) Los que no pueden pagar y no quieren hacerlo. – mal pagador.</w:t>
      </w:r>
    </w:p>
    <w:p w:rsidR="00C074B1" w:rsidRDefault="00C074B1" w:rsidP="00C074B1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C074B1" w:rsidRPr="00C074B1" w:rsidRDefault="00C074B1" w:rsidP="00C074B1">
      <w:pPr>
        <w:spacing w:after="0"/>
        <w:jc w:val="both"/>
        <w:rPr>
          <w:rFonts w:ascii="Arial" w:hAnsi="Arial" w:cs="Arial"/>
          <w:sz w:val="20"/>
          <w:szCs w:val="20"/>
        </w:rPr>
      </w:pPr>
      <w:r w:rsidRPr="00C074B1">
        <w:rPr>
          <w:rFonts w:ascii="Arial" w:hAnsi="Arial" w:cs="Arial"/>
          <w:sz w:val="20"/>
          <w:szCs w:val="20"/>
        </w:rPr>
        <w:t xml:space="preserve">Para definir un mal pagador propongo crear un </w:t>
      </w:r>
      <w:r w:rsidRPr="00C074B1">
        <w:rPr>
          <w:rFonts w:ascii="Arial" w:hAnsi="Arial" w:cs="Arial"/>
          <w:sz w:val="20"/>
          <w:szCs w:val="20"/>
          <w:u w:val="single"/>
        </w:rPr>
        <w:t>score de comportamiento</w:t>
      </w:r>
      <w:r w:rsidRPr="00C074B1">
        <w:rPr>
          <w:rFonts w:ascii="Arial" w:hAnsi="Arial" w:cs="Arial"/>
          <w:sz w:val="20"/>
          <w:szCs w:val="20"/>
        </w:rPr>
        <w:t>:</w:t>
      </w:r>
    </w:p>
    <w:p w:rsidR="00C074B1" w:rsidRPr="00C074B1" w:rsidRDefault="00C074B1" w:rsidP="00C074B1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EC"/>
        </w:rPr>
      </w:pPr>
      <w:r w:rsidRPr="00C074B1">
        <w:rPr>
          <w:sz w:val="20"/>
          <w:szCs w:val="20"/>
          <w:lang w:val="es-EC"/>
        </w:rPr>
        <w:t>Mayor que 25 y menor igual que 30, se puntúa el comportamiento con 0.25.</w:t>
      </w:r>
    </w:p>
    <w:p w:rsidR="00C074B1" w:rsidRPr="00C074B1" w:rsidRDefault="00C074B1" w:rsidP="00C074B1">
      <w:pPr>
        <w:pStyle w:val="Prrafodelista"/>
        <w:numPr>
          <w:ilvl w:val="0"/>
          <w:numId w:val="1"/>
        </w:numPr>
        <w:jc w:val="both"/>
        <w:rPr>
          <w:sz w:val="20"/>
          <w:szCs w:val="20"/>
          <w:lang w:val="es-EC"/>
        </w:rPr>
      </w:pPr>
      <w:r w:rsidRPr="00C074B1">
        <w:rPr>
          <w:sz w:val="20"/>
          <w:szCs w:val="20"/>
          <w:lang w:val="es-EC"/>
        </w:rPr>
        <w:t>Mayor que 30, se puntúa con 1</w:t>
      </w:r>
    </w:p>
    <w:p w:rsidR="00C074B1" w:rsidRDefault="00C074B1" w:rsidP="00C074B1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C074B1" w:rsidRPr="00C074B1" w:rsidRDefault="00C074B1" w:rsidP="00C074B1">
      <w:pPr>
        <w:spacing w:after="0"/>
        <w:jc w:val="both"/>
        <w:rPr>
          <w:rFonts w:ascii="Arial" w:hAnsi="Arial" w:cs="Arial"/>
          <w:sz w:val="20"/>
          <w:szCs w:val="20"/>
        </w:rPr>
      </w:pPr>
      <w:r w:rsidRPr="00C074B1">
        <w:rPr>
          <w:rFonts w:ascii="Arial" w:hAnsi="Arial" w:cs="Arial"/>
          <w:sz w:val="20"/>
          <w:szCs w:val="20"/>
        </w:rPr>
        <w:t>Con el punto uno buscaría etiquetar como mal pagador a los que pudiendo pagar, deciden no hacerlo de manera oportuna sino esperar hasta los últimos días y mantenerlo como un comportamiento habitual.</w:t>
      </w:r>
    </w:p>
    <w:p w:rsidR="00C074B1" w:rsidRDefault="00C074B1" w:rsidP="00C074B1">
      <w:pPr>
        <w:spacing w:after="0"/>
        <w:jc w:val="both"/>
        <w:rPr>
          <w:rFonts w:ascii="Arial" w:hAnsi="Arial" w:cs="Arial"/>
          <w:sz w:val="20"/>
          <w:szCs w:val="20"/>
          <w:u w:val="single"/>
        </w:rPr>
      </w:pPr>
    </w:p>
    <w:p w:rsidR="00C074B1" w:rsidRPr="00C074B1" w:rsidRDefault="00C074B1" w:rsidP="00C074B1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gramStart"/>
      <w:r w:rsidRPr="00C074B1">
        <w:rPr>
          <w:rFonts w:ascii="Arial" w:hAnsi="Arial" w:cs="Arial"/>
          <w:sz w:val="20"/>
          <w:szCs w:val="20"/>
          <w:u w:val="single"/>
        </w:rPr>
        <w:t>Definición mal pagador</w:t>
      </w:r>
      <w:proofErr w:type="gramEnd"/>
      <w:r w:rsidRPr="00C074B1">
        <w:rPr>
          <w:rFonts w:ascii="Arial" w:hAnsi="Arial" w:cs="Arial"/>
          <w:sz w:val="20"/>
          <w:szCs w:val="20"/>
        </w:rPr>
        <w:t xml:space="preserve"> según su score y antigüedad</w:t>
      </w:r>
    </w:p>
    <w:p w:rsidR="00C074B1" w:rsidRPr="00C074B1" w:rsidRDefault="00C074B1" w:rsidP="00C074B1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C074B1" w:rsidRPr="00C074B1" w:rsidRDefault="00C074B1" w:rsidP="00C074B1">
      <w:pPr>
        <w:spacing w:after="0"/>
        <w:jc w:val="both"/>
        <w:rPr>
          <w:rFonts w:ascii="Arial" w:hAnsi="Arial" w:cs="Arial"/>
          <w:sz w:val="20"/>
          <w:szCs w:val="20"/>
        </w:rPr>
      </w:pPr>
      <w:r w:rsidRPr="00C074B1">
        <w:rPr>
          <w:rFonts w:ascii="Arial" w:hAnsi="Arial" w:cs="Arial"/>
          <w:sz w:val="20"/>
          <w:szCs w:val="20"/>
        </w:rPr>
        <w:t>0 a &lt;=6 meses, score mayor que 0.</w:t>
      </w:r>
    </w:p>
    <w:p w:rsidR="00C074B1" w:rsidRPr="00C074B1" w:rsidRDefault="00C074B1" w:rsidP="00C074B1">
      <w:pPr>
        <w:spacing w:after="0"/>
        <w:jc w:val="both"/>
        <w:rPr>
          <w:rFonts w:ascii="Arial" w:hAnsi="Arial" w:cs="Arial"/>
          <w:sz w:val="20"/>
          <w:szCs w:val="20"/>
        </w:rPr>
      </w:pPr>
      <w:r w:rsidRPr="00C074B1">
        <w:rPr>
          <w:rFonts w:ascii="Arial" w:hAnsi="Arial" w:cs="Arial"/>
          <w:sz w:val="20"/>
          <w:szCs w:val="20"/>
        </w:rPr>
        <w:t>&gt;6 a &lt;=12 meses, score mayor que a 0.5</w:t>
      </w:r>
    </w:p>
    <w:p w:rsidR="00C074B1" w:rsidRPr="00C074B1" w:rsidRDefault="00C074B1" w:rsidP="00C074B1">
      <w:pPr>
        <w:spacing w:after="0"/>
        <w:jc w:val="both"/>
        <w:rPr>
          <w:rFonts w:ascii="Arial" w:hAnsi="Arial" w:cs="Arial"/>
          <w:sz w:val="20"/>
          <w:szCs w:val="20"/>
        </w:rPr>
      </w:pPr>
      <w:r w:rsidRPr="00C074B1">
        <w:rPr>
          <w:rFonts w:ascii="Arial" w:hAnsi="Arial" w:cs="Arial"/>
          <w:sz w:val="20"/>
          <w:szCs w:val="20"/>
        </w:rPr>
        <w:t>&gt;12 a &lt;=24 meses, score mayor igual a 1.5.</w:t>
      </w:r>
    </w:p>
    <w:p w:rsidR="00C074B1" w:rsidRPr="00C074B1" w:rsidRDefault="00C074B1" w:rsidP="00C074B1">
      <w:pPr>
        <w:spacing w:after="0"/>
        <w:jc w:val="both"/>
        <w:rPr>
          <w:rFonts w:ascii="Arial" w:hAnsi="Arial" w:cs="Arial"/>
          <w:sz w:val="20"/>
          <w:szCs w:val="20"/>
        </w:rPr>
      </w:pPr>
      <w:r w:rsidRPr="00C074B1">
        <w:rPr>
          <w:rFonts w:ascii="Arial" w:hAnsi="Arial" w:cs="Arial"/>
          <w:sz w:val="20"/>
          <w:szCs w:val="20"/>
        </w:rPr>
        <w:t>&gt;24 a &lt;=36 meses, score mayor igual a 2.5.</w:t>
      </w:r>
    </w:p>
    <w:p w:rsidR="00C074B1" w:rsidRPr="00C074B1" w:rsidRDefault="00C074B1" w:rsidP="00C074B1">
      <w:pPr>
        <w:spacing w:after="0"/>
        <w:jc w:val="both"/>
        <w:rPr>
          <w:rFonts w:ascii="Arial" w:hAnsi="Arial" w:cs="Arial"/>
          <w:sz w:val="20"/>
          <w:szCs w:val="20"/>
        </w:rPr>
      </w:pPr>
      <w:r w:rsidRPr="00C074B1">
        <w:rPr>
          <w:rFonts w:ascii="Arial" w:hAnsi="Arial" w:cs="Arial"/>
          <w:sz w:val="20"/>
          <w:szCs w:val="20"/>
        </w:rPr>
        <w:t>&gt;36 a &lt;=48 meses, score mayor igual a 3.5.</w:t>
      </w:r>
    </w:p>
    <w:p w:rsidR="00C074B1" w:rsidRPr="00C074B1" w:rsidRDefault="00C074B1" w:rsidP="00C074B1">
      <w:pPr>
        <w:spacing w:after="0"/>
        <w:jc w:val="both"/>
        <w:rPr>
          <w:rFonts w:ascii="Arial" w:hAnsi="Arial" w:cs="Arial"/>
          <w:sz w:val="20"/>
          <w:szCs w:val="20"/>
        </w:rPr>
      </w:pPr>
      <w:r w:rsidRPr="00C074B1">
        <w:rPr>
          <w:rFonts w:ascii="Arial" w:hAnsi="Arial" w:cs="Arial"/>
          <w:sz w:val="20"/>
          <w:szCs w:val="20"/>
        </w:rPr>
        <w:t>&gt;48 a &lt;=60 meses, score mayor igual a 4.5.</w:t>
      </w:r>
    </w:p>
    <w:p w:rsidR="00C074B1" w:rsidRPr="00C074B1" w:rsidRDefault="00C074B1" w:rsidP="00C074B1">
      <w:pPr>
        <w:spacing w:after="0"/>
        <w:jc w:val="both"/>
        <w:rPr>
          <w:rFonts w:ascii="Arial" w:hAnsi="Arial" w:cs="Arial"/>
          <w:sz w:val="20"/>
          <w:szCs w:val="20"/>
        </w:rPr>
      </w:pPr>
      <w:r w:rsidRPr="00C074B1">
        <w:rPr>
          <w:rFonts w:ascii="Arial" w:hAnsi="Arial" w:cs="Arial"/>
          <w:sz w:val="20"/>
          <w:szCs w:val="20"/>
        </w:rPr>
        <w:t>&gt;60 meses, score mayor igual a 5.5</w:t>
      </w:r>
    </w:p>
    <w:p w:rsidR="00C074B1" w:rsidRDefault="00C074B1" w:rsidP="00C074B1">
      <w:pPr>
        <w:spacing w:after="0"/>
        <w:rPr>
          <w:rFonts w:ascii="Arial" w:hAnsi="Arial" w:cs="Arial"/>
          <w:sz w:val="20"/>
          <w:szCs w:val="20"/>
        </w:rPr>
      </w:pPr>
    </w:p>
    <w:p w:rsidR="00ED1650" w:rsidRPr="00ED1650" w:rsidRDefault="00ED1650" w:rsidP="00C074B1">
      <w:pPr>
        <w:spacing w:after="0"/>
        <w:rPr>
          <w:rFonts w:ascii="Arial" w:hAnsi="Arial" w:cs="Arial"/>
          <w:b/>
          <w:sz w:val="20"/>
          <w:szCs w:val="20"/>
        </w:rPr>
      </w:pPr>
      <w:proofErr w:type="spellStart"/>
      <w:r w:rsidRPr="00ED1650">
        <w:rPr>
          <w:rFonts w:ascii="Arial" w:hAnsi="Arial" w:cs="Arial"/>
          <w:b/>
          <w:sz w:val="20"/>
          <w:szCs w:val="20"/>
        </w:rPr>
        <w:t>Busqueda</w:t>
      </w:r>
      <w:proofErr w:type="spellEnd"/>
      <w:r w:rsidRPr="00ED1650">
        <w:rPr>
          <w:rFonts w:ascii="Arial" w:hAnsi="Arial" w:cs="Arial"/>
          <w:b/>
          <w:sz w:val="20"/>
          <w:szCs w:val="20"/>
        </w:rPr>
        <w:t xml:space="preserve"> ChatGPT</w:t>
      </w:r>
    </w:p>
    <w:p w:rsidR="00ED1650" w:rsidRDefault="00ED1650" w:rsidP="00C074B1">
      <w:pPr>
        <w:spacing w:after="0"/>
        <w:rPr>
          <w:rFonts w:ascii="Arial" w:hAnsi="Arial" w:cs="Arial"/>
          <w:sz w:val="20"/>
          <w:szCs w:val="20"/>
        </w:rPr>
      </w:pPr>
    </w:p>
    <w:p w:rsidR="00ED1650" w:rsidRPr="00ED1650" w:rsidRDefault="00ED1650" w:rsidP="00ED1650">
      <w:pPr>
        <w:spacing w:after="0"/>
        <w:rPr>
          <w:rFonts w:ascii="Arial" w:hAnsi="Arial" w:cs="Arial"/>
          <w:sz w:val="20"/>
          <w:szCs w:val="20"/>
        </w:rPr>
      </w:pPr>
      <w:r w:rsidRPr="00ED1650">
        <w:rPr>
          <w:rFonts w:ascii="Arial" w:hAnsi="Arial" w:cs="Arial"/>
          <w:sz w:val="20"/>
          <w:szCs w:val="20"/>
        </w:rPr>
        <w:t xml:space="preserve">En las economías latinoamericanas, las estadísticas de buenos y malos pagadores de tarjetas </w:t>
      </w:r>
      <w:bookmarkStart w:id="0" w:name="_GoBack"/>
      <w:bookmarkEnd w:id="0"/>
      <w:r w:rsidRPr="00ED1650">
        <w:rPr>
          <w:rFonts w:ascii="Arial" w:hAnsi="Arial" w:cs="Arial"/>
          <w:sz w:val="20"/>
          <w:szCs w:val="20"/>
        </w:rPr>
        <w:t>de crédito varían, pero se observan algunas tendencias comunes. En general, los niveles de morosidad en las tarjetas de crédito para consumo son significativos. Por ejemplo, en Ecuador, aproximadamente el 8.33% de los clientes con tarjetas de crédito de consumo tienen deudas vencidas</w:t>
      </w:r>
      <w:r w:rsidRPr="00ED1650">
        <w:rPr>
          <w:rFonts w:ascii="MS Gothic" w:eastAsia="MS Gothic" w:hAnsi="MS Gothic" w:cs="MS Gothic" w:hint="eastAsia"/>
          <w:sz w:val="20"/>
          <w:szCs w:val="20"/>
        </w:rPr>
        <w:t>【</w:t>
      </w:r>
      <w:r w:rsidRPr="00ED1650">
        <w:rPr>
          <w:rFonts w:ascii="Arial" w:hAnsi="Arial" w:cs="Arial"/>
          <w:sz w:val="20"/>
          <w:szCs w:val="20"/>
        </w:rPr>
        <w:t>7†source</w:t>
      </w:r>
      <w:r w:rsidRPr="00ED1650">
        <w:rPr>
          <w:rFonts w:ascii="MS Gothic" w:eastAsia="MS Gothic" w:hAnsi="MS Gothic" w:cs="MS Gothic" w:hint="eastAsia"/>
          <w:sz w:val="20"/>
          <w:szCs w:val="20"/>
        </w:rPr>
        <w:t>】</w:t>
      </w:r>
      <w:r w:rsidRPr="00ED1650">
        <w:rPr>
          <w:rFonts w:ascii="Arial" w:hAnsi="Arial" w:cs="Arial"/>
          <w:sz w:val="20"/>
          <w:szCs w:val="20"/>
        </w:rPr>
        <w:t>.</w:t>
      </w:r>
    </w:p>
    <w:p w:rsidR="00ED1650" w:rsidRPr="00ED1650" w:rsidRDefault="00ED1650" w:rsidP="00ED1650">
      <w:pPr>
        <w:spacing w:after="0"/>
        <w:rPr>
          <w:rFonts w:ascii="Arial" w:hAnsi="Arial" w:cs="Arial"/>
          <w:sz w:val="20"/>
          <w:szCs w:val="20"/>
        </w:rPr>
      </w:pPr>
    </w:p>
    <w:p w:rsidR="00ED1650" w:rsidRPr="00ED1650" w:rsidRDefault="00ED1650" w:rsidP="00ED1650">
      <w:pPr>
        <w:spacing w:after="0"/>
        <w:rPr>
          <w:rFonts w:ascii="Arial" w:hAnsi="Arial" w:cs="Arial"/>
          <w:sz w:val="20"/>
          <w:szCs w:val="20"/>
        </w:rPr>
      </w:pPr>
      <w:r w:rsidRPr="00ED1650">
        <w:rPr>
          <w:rFonts w:ascii="Arial" w:hAnsi="Arial" w:cs="Arial"/>
          <w:sz w:val="20"/>
          <w:szCs w:val="20"/>
        </w:rPr>
        <w:t>Además, se ha identificado que la morosidad total de los clientes con tarjetas de crédito para consumo representa el 14.2% de todos los clientes en esta modalidad de crédito. Este comportamiento refleja un riesgo significativo y debilidad en la capacidad de pago de los clientes, particularmente en los niveles de ingresos más bajos</w:t>
      </w:r>
      <w:r w:rsidRPr="00ED1650">
        <w:rPr>
          <w:rFonts w:ascii="MS Gothic" w:eastAsia="MS Gothic" w:hAnsi="MS Gothic" w:cs="MS Gothic" w:hint="eastAsia"/>
          <w:sz w:val="20"/>
          <w:szCs w:val="20"/>
        </w:rPr>
        <w:t>【</w:t>
      </w:r>
      <w:r w:rsidRPr="00ED1650">
        <w:rPr>
          <w:rFonts w:ascii="Arial" w:hAnsi="Arial" w:cs="Arial"/>
          <w:sz w:val="20"/>
          <w:szCs w:val="20"/>
        </w:rPr>
        <w:t>7†source</w:t>
      </w:r>
      <w:r w:rsidRPr="00ED1650">
        <w:rPr>
          <w:rFonts w:ascii="MS Gothic" w:eastAsia="MS Gothic" w:hAnsi="MS Gothic" w:cs="MS Gothic" w:hint="eastAsia"/>
          <w:sz w:val="20"/>
          <w:szCs w:val="20"/>
        </w:rPr>
        <w:t>】</w:t>
      </w:r>
      <w:r w:rsidRPr="00ED1650">
        <w:rPr>
          <w:rFonts w:ascii="Arial" w:hAnsi="Arial" w:cs="Arial"/>
          <w:sz w:val="20"/>
          <w:szCs w:val="20"/>
        </w:rPr>
        <w:t>.</w:t>
      </w:r>
    </w:p>
    <w:p w:rsidR="00ED1650" w:rsidRPr="00ED1650" w:rsidRDefault="00ED1650" w:rsidP="00ED1650">
      <w:pPr>
        <w:spacing w:after="0"/>
        <w:rPr>
          <w:rFonts w:ascii="Arial" w:hAnsi="Arial" w:cs="Arial"/>
          <w:sz w:val="20"/>
          <w:szCs w:val="20"/>
        </w:rPr>
      </w:pPr>
    </w:p>
    <w:p w:rsidR="00ED1650" w:rsidRPr="00ED1650" w:rsidRDefault="00ED1650" w:rsidP="00ED1650">
      <w:pPr>
        <w:spacing w:after="0"/>
        <w:rPr>
          <w:rFonts w:ascii="Arial" w:hAnsi="Arial" w:cs="Arial"/>
          <w:sz w:val="20"/>
          <w:szCs w:val="20"/>
        </w:rPr>
      </w:pPr>
      <w:r w:rsidRPr="00ED1650">
        <w:rPr>
          <w:rFonts w:ascii="Arial" w:hAnsi="Arial" w:cs="Arial"/>
          <w:sz w:val="20"/>
          <w:szCs w:val="20"/>
        </w:rPr>
        <w:lastRenderedPageBreak/>
        <w:t>En cuanto al impacto de los impagos, si un cliente se atrasa en el pago de una deuda más de 30 días, entra en mora, y si el retraso supera los 90 días, se clasifica como parte de la cartera castigada por los bancos. Estos reportes negativos pueden permanecer hasta por 4 años en los burós de crédito</w:t>
      </w:r>
      <w:r w:rsidRPr="00ED1650">
        <w:rPr>
          <w:rFonts w:ascii="MS Gothic" w:eastAsia="MS Gothic" w:hAnsi="MS Gothic" w:cs="MS Gothic" w:hint="eastAsia"/>
          <w:sz w:val="20"/>
          <w:szCs w:val="20"/>
        </w:rPr>
        <w:t>【</w:t>
      </w:r>
      <w:r w:rsidRPr="00ED1650">
        <w:rPr>
          <w:rFonts w:ascii="Arial" w:hAnsi="Arial" w:cs="Arial"/>
          <w:sz w:val="20"/>
          <w:szCs w:val="20"/>
        </w:rPr>
        <w:t>8†source</w:t>
      </w:r>
      <w:r w:rsidRPr="00ED1650">
        <w:rPr>
          <w:rFonts w:ascii="MS Gothic" w:eastAsia="MS Gothic" w:hAnsi="MS Gothic" w:cs="MS Gothic" w:hint="eastAsia"/>
          <w:sz w:val="20"/>
          <w:szCs w:val="20"/>
        </w:rPr>
        <w:t>】</w:t>
      </w:r>
      <w:r w:rsidRPr="00ED1650">
        <w:rPr>
          <w:rFonts w:ascii="Arial" w:hAnsi="Arial" w:cs="Arial"/>
          <w:sz w:val="20"/>
          <w:szCs w:val="20"/>
        </w:rPr>
        <w:t>.</w:t>
      </w:r>
    </w:p>
    <w:p w:rsidR="00ED1650" w:rsidRPr="00ED1650" w:rsidRDefault="00ED1650" w:rsidP="00ED1650">
      <w:pPr>
        <w:spacing w:after="0"/>
        <w:rPr>
          <w:rFonts w:ascii="Arial" w:hAnsi="Arial" w:cs="Arial"/>
          <w:sz w:val="20"/>
          <w:szCs w:val="20"/>
        </w:rPr>
      </w:pPr>
    </w:p>
    <w:p w:rsidR="00ED1650" w:rsidRPr="00ED1650" w:rsidRDefault="00ED1650" w:rsidP="00ED1650">
      <w:pPr>
        <w:spacing w:after="0"/>
        <w:rPr>
          <w:rFonts w:ascii="Arial" w:hAnsi="Arial" w:cs="Arial"/>
          <w:sz w:val="20"/>
          <w:szCs w:val="20"/>
        </w:rPr>
      </w:pPr>
      <w:r w:rsidRPr="00ED1650">
        <w:rPr>
          <w:rFonts w:ascii="Arial" w:hAnsi="Arial" w:cs="Arial"/>
          <w:sz w:val="20"/>
          <w:szCs w:val="20"/>
        </w:rPr>
        <w:t>Por otro lado, la implementación de sistemas de información crediticia que incluyen tanto datos positivos como negativos ha demostrado mejorar la inclusión financiera y reducir los costos del crédito. Países que han adoptado estos sistemas, como España, han visto una reducción en la morosidad y una mayor competencia entre las entidades financieras</w:t>
      </w:r>
      <w:r w:rsidRPr="00ED1650">
        <w:rPr>
          <w:rFonts w:ascii="MS Gothic" w:eastAsia="MS Gothic" w:hAnsi="MS Gothic" w:cs="MS Gothic" w:hint="eastAsia"/>
          <w:sz w:val="20"/>
          <w:szCs w:val="20"/>
        </w:rPr>
        <w:t>【</w:t>
      </w:r>
      <w:r w:rsidRPr="00ED1650">
        <w:rPr>
          <w:rFonts w:ascii="Arial" w:hAnsi="Arial" w:cs="Arial"/>
          <w:sz w:val="20"/>
          <w:szCs w:val="20"/>
        </w:rPr>
        <w:t>9†source</w:t>
      </w:r>
      <w:r w:rsidRPr="00ED1650">
        <w:rPr>
          <w:rFonts w:ascii="MS Gothic" w:eastAsia="MS Gothic" w:hAnsi="MS Gothic" w:cs="MS Gothic" w:hint="eastAsia"/>
          <w:sz w:val="20"/>
          <w:szCs w:val="20"/>
        </w:rPr>
        <w:t>】</w:t>
      </w:r>
      <w:r w:rsidRPr="00ED1650">
        <w:rPr>
          <w:rFonts w:ascii="Arial" w:hAnsi="Arial" w:cs="Arial"/>
          <w:sz w:val="20"/>
          <w:szCs w:val="20"/>
        </w:rPr>
        <w:t xml:space="preserve">. </w:t>
      </w:r>
    </w:p>
    <w:p w:rsidR="00ED1650" w:rsidRPr="00ED1650" w:rsidRDefault="00ED1650" w:rsidP="00ED1650">
      <w:pPr>
        <w:spacing w:after="0"/>
        <w:rPr>
          <w:rFonts w:ascii="Arial" w:hAnsi="Arial" w:cs="Arial"/>
          <w:sz w:val="20"/>
          <w:szCs w:val="20"/>
        </w:rPr>
      </w:pPr>
    </w:p>
    <w:p w:rsidR="00ED1650" w:rsidRPr="00C074B1" w:rsidRDefault="00ED1650" w:rsidP="00ED1650">
      <w:pPr>
        <w:spacing w:after="0"/>
        <w:rPr>
          <w:rFonts w:ascii="Arial" w:hAnsi="Arial" w:cs="Arial"/>
          <w:sz w:val="20"/>
          <w:szCs w:val="20"/>
        </w:rPr>
      </w:pPr>
      <w:r w:rsidRPr="00ED1650">
        <w:rPr>
          <w:rFonts w:ascii="Arial" w:hAnsi="Arial" w:cs="Arial"/>
          <w:sz w:val="20"/>
          <w:szCs w:val="20"/>
        </w:rPr>
        <w:t>Estas estadísticas y tendencias indican que, aunque existe una proporción considerable de malos pagadores en la región, también hay iniciativas para mejorar la gestión de crédito y reducir la morosidad.</w:t>
      </w:r>
    </w:p>
    <w:sectPr w:rsidR="00ED1650" w:rsidRPr="00C07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1238B"/>
    <w:multiLevelType w:val="hybridMultilevel"/>
    <w:tmpl w:val="787CA570"/>
    <w:lvl w:ilvl="0" w:tplc="CBA2C4EE">
      <w:start w:val="4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auto"/>
        <w:sz w:val="2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B1"/>
    <w:rsid w:val="00232B35"/>
    <w:rsid w:val="00C074B1"/>
    <w:rsid w:val="00ED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0ED96"/>
  <w15:chartTrackingRefBased/>
  <w15:docId w15:val="{4DBD543D-822A-4F30-BF3F-BDEBA155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7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74B1"/>
    <w:rPr>
      <w:rFonts w:ascii="Courier New" w:eastAsia="Times New Roman" w:hAnsi="Courier New" w:cs="Courier New"/>
      <w:sz w:val="20"/>
      <w:szCs w:val="20"/>
      <w:lang w:eastAsia="es-EC"/>
    </w:rPr>
  </w:style>
  <w:style w:type="paragraph" w:styleId="Prrafodelista">
    <w:name w:val="List Paragraph"/>
    <w:basedOn w:val="Normal"/>
    <w:uiPriority w:val="34"/>
    <w:qFormat/>
    <w:rsid w:val="00C074B1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Rumbea Pavisic</dc:creator>
  <cp:keywords/>
  <dc:description/>
  <cp:lastModifiedBy>Mauricio Rumbea Pavisic</cp:lastModifiedBy>
  <cp:revision>2</cp:revision>
  <dcterms:created xsi:type="dcterms:W3CDTF">2024-06-24T20:49:00Z</dcterms:created>
  <dcterms:modified xsi:type="dcterms:W3CDTF">2024-06-24T20:59:00Z</dcterms:modified>
</cp:coreProperties>
</file>