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FA83" w14:textId="77777777" w:rsidR="000E3FCB" w:rsidRDefault="000E3FCB" w:rsidP="000E3FC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TECHNICAL NOTES</w:t>
      </w:r>
    </w:p>
    <w:p w14:paraId="31263FCB" w14:textId="77777777" w:rsidR="00572686" w:rsidRDefault="00572686" w:rsidP="000E3FC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6A1E2C" w14:textId="77777777" w:rsidR="00572686" w:rsidRPr="00977568" w:rsidRDefault="00CE58FA" w:rsidP="0057268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 w14:anchorId="71D9874C">
          <v:line id="Straight Connector 5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05pt,48pt" to="469.7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" strokecolor="#4579b8 [3044]" strokeweight="1.5pt">
            <o:lock v:ext="edit" shapetype="f"/>
          </v:line>
        </w:pict>
      </w:r>
      <w:r w:rsidR="00572686" w:rsidRPr="00EE05DF">
        <w:rPr>
          <w:rFonts w:ascii="Arial" w:hAnsi="Arial"/>
          <w:b/>
          <w:sz w:val="32"/>
          <w:szCs w:val="32"/>
        </w:rPr>
        <w:t xml:space="preserve">Age and Sex Distribution </w:t>
      </w:r>
      <w:r w:rsidR="00EE05DF" w:rsidRPr="00EE05DF">
        <w:rPr>
          <w:rFonts w:ascii="Arial" w:hAnsi="Arial"/>
          <w:b/>
          <w:sz w:val="32"/>
          <w:szCs w:val="32"/>
        </w:rPr>
        <w:t xml:space="preserve">of </w:t>
      </w:r>
      <w:r w:rsidR="00572686" w:rsidRPr="00EE05DF">
        <w:rPr>
          <w:rFonts w:ascii="Arial" w:hAnsi="Arial"/>
          <w:b/>
          <w:sz w:val="32"/>
          <w:szCs w:val="32"/>
        </w:rPr>
        <w:t>the Philippine Population</w:t>
      </w:r>
    </w:p>
    <w:p w14:paraId="39144624" w14:textId="77777777" w:rsidR="000E3FCB" w:rsidRPr="00EE05DF" w:rsidRDefault="000E3FCB" w:rsidP="00572686">
      <w:pPr>
        <w:spacing w:after="0"/>
        <w:jc w:val="center"/>
        <w:rPr>
          <w:rFonts w:ascii="Arial" w:hAnsi="Arial"/>
          <w:b/>
          <w:sz w:val="32"/>
          <w:szCs w:val="32"/>
        </w:rPr>
      </w:pPr>
      <w:r w:rsidRPr="00977568">
        <w:rPr>
          <w:rFonts w:ascii="Arial" w:hAnsi="Arial" w:cs="Arial"/>
          <w:b/>
          <w:bCs/>
          <w:sz w:val="32"/>
          <w:szCs w:val="32"/>
        </w:rPr>
        <w:t xml:space="preserve"> </w:t>
      </w:r>
      <w:r w:rsidR="00572686" w:rsidRPr="00977568">
        <w:rPr>
          <w:rFonts w:ascii="Arial" w:hAnsi="Arial" w:cs="Arial"/>
          <w:b/>
          <w:bCs/>
          <w:sz w:val="32"/>
          <w:szCs w:val="32"/>
        </w:rPr>
        <w:t xml:space="preserve">(2020 </w:t>
      </w:r>
      <w:r w:rsidRPr="00977568">
        <w:rPr>
          <w:rFonts w:ascii="Arial" w:hAnsi="Arial" w:cs="Arial"/>
          <w:b/>
          <w:bCs/>
          <w:sz w:val="32"/>
          <w:szCs w:val="32"/>
        </w:rPr>
        <w:t>Census of Population and Housing</w:t>
      </w:r>
      <w:r w:rsidR="00572686" w:rsidRPr="00977568">
        <w:rPr>
          <w:rFonts w:ascii="Arial" w:hAnsi="Arial" w:cs="Arial"/>
          <w:b/>
          <w:bCs/>
          <w:sz w:val="32"/>
          <w:szCs w:val="32"/>
        </w:rPr>
        <w:t>)</w:t>
      </w:r>
    </w:p>
    <w:p w14:paraId="59D3A9D8" w14:textId="77777777" w:rsidR="00EE05DF" w:rsidRDefault="00EE05DF">
      <w:pPr>
        <w:rPr>
          <w:rFonts w:ascii="Arial" w:hAnsi="Arial" w:cs="Arial"/>
          <w:sz w:val="28"/>
          <w:szCs w:val="28"/>
        </w:rPr>
      </w:pPr>
    </w:p>
    <w:p w14:paraId="2827AA59" w14:textId="77777777" w:rsidR="001A7B90" w:rsidRDefault="00CE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12863CC">
          <v:roundrect id="Rectangle: Rounded Corners 4" o:spid="_x0000_s1028" style="position:absolute;margin-left:-2.05pt;margin-top:16.85pt;width:467.5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" fillcolor="#365f91 [2404]" strokecolor="#243f60 [1604]" strokeweight="1pt">
            <v:stroke joinstyle="miter"/>
            <v:textbox>
              <w:txbxContent>
                <w:p w14:paraId="6327D7DB" w14:textId="77777777" w:rsidR="000E3FCB" w:rsidRPr="008E251E" w:rsidRDefault="000E3FCB" w:rsidP="000E3FCB">
                  <w:pPr>
                    <w:pStyle w:val="ListParagraph"/>
                    <w:numPr>
                      <w:ilvl w:val="0"/>
                      <w:numId w:val="1"/>
                    </w:numPr>
                    <w:ind w:left="562"/>
                    <w:contextualSpacing w:val="0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E251E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Introduction</w:t>
                  </w:r>
                </w:p>
              </w:txbxContent>
            </v:textbox>
          </v:roundrect>
        </w:pict>
      </w:r>
    </w:p>
    <w:p w14:paraId="14BEDADF" w14:textId="77777777" w:rsidR="000E3FCB" w:rsidRPr="000E3FCB" w:rsidRDefault="000E3FCB">
      <w:pPr>
        <w:rPr>
          <w:rFonts w:ascii="Arial" w:hAnsi="Arial" w:cs="Arial"/>
          <w:sz w:val="16"/>
          <w:szCs w:val="16"/>
        </w:rPr>
      </w:pPr>
    </w:p>
    <w:p w14:paraId="78DF5BE0" w14:textId="77777777" w:rsidR="00EE05DF" w:rsidRDefault="00EE05DF" w:rsidP="007C47B6">
      <w:pPr>
        <w:ind w:firstLine="720"/>
        <w:jc w:val="both"/>
        <w:rPr>
          <w:rFonts w:ascii="Arial" w:hAnsi="Arial" w:cs="Arial"/>
          <w:sz w:val="10"/>
          <w:szCs w:val="10"/>
        </w:rPr>
      </w:pPr>
    </w:p>
    <w:p w14:paraId="2BD4896D" w14:textId="77777777" w:rsidR="001A7B90" w:rsidRDefault="001A7B90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Philippine Statistics Authority </w:t>
      </w:r>
      <w:r w:rsidR="00EE05DF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onducted the 2020 Census of </w:t>
      </w:r>
      <w:r w:rsidRPr="00977568">
        <w:rPr>
          <w:rFonts w:ascii="Arial" w:hAnsi="Arial" w:cs="Arial"/>
          <w:spacing w:val="-6"/>
          <w:sz w:val="28"/>
          <w:szCs w:val="28"/>
        </w:rPr>
        <w:t>Population and Housing (</w:t>
      </w:r>
      <w:r w:rsidR="00EE05DF" w:rsidRPr="00977568">
        <w:rPr>
          <w:rFonts w:ascii="Arial" w:hAnsi="Arial" w:cs="Arial"/>
          <w:spacing w:val="-6"/>
          <w:sz w:val="28"/>
          <w:szCs w:val="28"/>
        </w:rPr>
        <w:t xml:space="preserve">2020 </w:t>
      </w:r>
      <w:r w:rsidRPr="00977568">
        <w:rPr>
          <w:rFonts w:ascii="Arial" w:hAnsi="Arial" w:cs="Arial"/>
          <w:spacing w:val="-6"/>
          <w:sz w:val="28"/>
          <w:szCs w:val="28"/>
        </w:rPr>
        <w:t>CPH) in September 2020</w:t>
      </w:r>
      <w:r w:rsidR="00EE05DF" w:rsidRPr="00977568">
        <w:rPr>
          <w:rFonts w:ascii="Arial" w:hAnsi="Arial" w:cs="Arial"/>
          <w:spacing w:val="-6"/>
          <w:sz w:val="28"/>
          <w:szCs w:val="28"/>
        </w:rPr>
        <w:t>, with 01 May 2020</w:t>
      </w:r>
      <w:r w:rsidR="00EE05DF">
        <w:rPr>
          <w:rFonts w:ascii="Arial" w:hAnsi="Arial" w:cs="Arial"/>
          <w:sz w:val="28"/>
          <w:szCs w:val="28"/>
        </w:rPr>
        <w:t xml:space="preserve"> as reference date.</w:t>
      </w:r>
    </w:p>
    <w:p w14:paraId="13A8E78D" w14:textId="77777777" w:rsidR="00EE05DF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spacing w:val="-4"/>
          <w:sz w:val="28"/>
          <w:szCs w:val="28"/>
        </w:rPr>
      </w:pPr>
    </w:p>
    <w:p w14:paraId="51C7D49A" w14:textId="77777777" w:rsidR="001A7B90" w:rsidRPr="00977568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spacing w:val="-4"/>
          <w:sz w:val="28"/>
          <w:szCs w:val="28"/>
        </w:rPr>
      </w:pPr>
      <w:r w:rsidRPr="00977568">
        <w:rPr>
          <w:rFonts w:ascii="Arial" w:hAnsi="Arial" w:cs="Arial"/>
          <w:spacing w:val="-4"/>
          <w:sz w:val="28"/>
          <w:szCs w:val="28"/>
        </w:rPr>
        <w:t xml:space="preserve">The 2020 CPH </w:t>
      </w:r>
      <w:r w:rsidR="001A7B90" w:rsidRPr="00977568">
        <w:rPr>
          <w:rFonts w:ascii="Arial" w:hAnsi="Arial" w:cs="Arial"/>
          <w:spacing w:val="-4"/>
          <w:sz w:val="28"/>
          <w:szCs w:val="28"/>
        </w:rPr>
        <w:t>was the 15</w:t>
      </w:r>
      <w:r w:rsidR="001A7B90" w:rsidRPr="00977568">
        <w:rPr>
          <w:rFonts w:ascii="Arial" w:hAnsi="Arial" w:cs="Arial"/>
          <w:spacing w:val="-4"/>
          <w:sz w:val="28"/>
          <w:szCs w:val="28"/>
          <w:vertAlign w:val="superscript"/>
        </w:rPr>
        <w:t>th</w:t>
      </w:r>
      <w:r w:rsidR="001A7B90" w:rsidRPr="00977568">
        <w:rPr>
          <w:rFonts w:ascii="Arial" w:hAnsi="Arial" w:cs="Arial"/>
          <w:spacing w:val="-4"/>
          <w:sz w:val="28"/>
          <w:szCs w:val="28"/>
        </w:rPr>
        <w:t xml:space="preserve"> census of population and 7</w:t>
      </w:r>
      <w:r w:rsidR="001A7B90" w:rsidRPr="00977568">
        <w:rPr>
          <w:rFonts w:ascii="Arial" w:hAnsi="Arial" w:cs="Arial"/>
          <w:spacing w:val="-4"/>
          <w:sz w:val="28"/>
          <w:szCs w:val="28"/>
          <w:vertAlign w:val="superscript"/>
        </w:rPr>
        <w:t>th</w:t>
      </w:r>
      <w:r w:rsidR="001A7B90" w:rsidRPr="00977568">
        <w:rPr>
          <w:rFonts w:ascii="Arial" w:hAnsi="Arial" w:cs="Arial"/>
          <w:spacing w:val="-4"/>
          <w:sz w:val="28"/>
          <w:szCs w:val="28"/>
        </w:rPr>
        <w:t xml:space="preserve"> census of housing that was undertaken </w:t>
      </w:r>
      <w:r w:rsidRPr="00977568">
        <w:rPr>
          <w:rFonts w:ascii="Arial" w:hAnsi="Arial" w:cs="Arial"/>
          <w:spacing w:val="-4"/>
          <w:sz w:val="28"/>
          <w:szCs w:val="28"/>
        </w:rPr>
        <w:t xml:space="preserve">in the Philippines </w:t>
      </w:r>
      <w:r w:rsidR="001A7B90" w:rsidRPr="00977568">
        <w:rPr>
          <w:rFonts w:ascii="Arial" w:hAnsi="Arial" w:cs="Arial"/>
          <w:spacing w:val="-4"/>
          <w:sz w:val="28"/>
          <w:szCs w:val="28"/>
        </w:rPr>
        <w:t xml:space="preserve">since the first census in 1903. </w:t>
      </w:r>
      <w:r w:rsidRPr="00977568">
        <w:rPr>
          <w:rFonts w:ascii="Arial" w:hAnsi="Arial" w:cs="Arial"/>
          <w:spacing w:val="-4"/>
          <w:sz w:val="28"/>
          <w:szCs w:val="28"/>
        </w:rPr>
        <w:t>It</w:t>
      </w:r>
      <w:r w:rsidR="001A7B90" w:rsidRPr="00977568">
        <w:rPr>
          <w:rFonts w:ascii="Arial" w:hAnsi="Arial" w:cs="Arial"/>
          <w:spacing w:val="-4"/>
          <w:sz w:val="28"/>
          <w:szCs w:val="28"/>
        </w:rPr>
        <w:t xml:space="preserve"> was designed to take inventory of the total population and housing units</w:t>
      </w:r>
      <w:r w:rsidRPr="00977568">
        <w:rPr>
          <w:rFonts w:ascii="Arial" w:hAnsi="Arial" w:cs="Arial"/>
          <w:spacing w:val="-4"/>
          <w:sz w:val="28"/>
          <w:szCs w:val="28"/>
        </w:rPr>
        <w:t xml:space="preserve"> in the country </w:t>
      </w:r>
      <w:r w:rsidR="001A7B90" w:rsidRPr="00977568">
        <w:rPr>
          <w:rFonts w:ascii="Arial" w:hAnsi="Arial" w:cs="Arial"/>
          <w:spacing w:val="-4"/>
          <w:sz w:val="28"/>
          <w:szCs w:val="28"/>
        </w:rPr>
        <w:t>and collect information about their characteristics.</w:t>
      </w:r>
    </w:p>
    <w:p w14:paraId="7A34039D" w14:textId="77777777" w:rsidR="00EE05DF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387B9EEA" w14:textId="77777777" w:rsidR="001A7B90" w:rsidRDefault="001A7B90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Philippine Standard Geographic Codes as of </w:t>
      </w:r>
      <w:r w:rsidR="00EE05DF" w:rsidRPr="00977568">
        <w:rPr>
          <w:rFonts w:ascii="Arial" w:hAnsi="Arial" w:cs="Arial"/>
          <w:sz w:val="28"/>
          <w:szCs w:val="28"/>
        </w:rPr>
        <w:t>April 20</w:t>
      </w:r>
      <w:r w:rsidR="00EE05DF" w:rsidRPr="00266BC6">
        <w:rPr>
          <w:rFonts w:ascii="Arial" w:hAnsi="Arial" w:cs="Arial"/>
          <w:sz w:val="28"/>
          <w:szCs w:val="28"/>
        </w:rPr>
        <w:t>22</w:t>
      </w:r>
      <w:r w:rsidR="00EE05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was used for the disaggregation of geographic levels of the 20</w:t>
      </w:r>
      <w:r w:rsidR="007C47B6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0 CPH.</w:t>
      </w:r>
    </w:p>
    <w:p w14:paraId="798C3AAA" w14:textId="77777777" w:rsidR="00EE05DF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13B38CCA" w14:textId="77777777" w:rsidR="00266BC6" w:rsidRDefault="00266BC6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6A2CCCC4" w14:textId="77777777" w:rsidR="001A7B90" w:rsidRDefault="00CE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589663F">
          <v:roundrect id="Rectangle: Rounded Corners 3" o:spid="_x0000_s1027" style="position:absolute;margin-left:-2.05pt;margin-top:3.4pt;width:467.5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" fillcolor="#365f91 [2404]" strokecolor="#002060" strokeweight="1pt">
            <v:stroke joinstyle="miter"/>
            <v:textbox>
              <w:txbxContent>
                <w:p w14:paraId="6FD2E051" w14:textId="77777777" w:rsidR="000E3FCB" w:rsidRPr="008E251E" w:rsidRDefault="000E3FCB" w:rsidP="000E3FCB">
                  <w:pPr>
                    <w:pStyle w:val="ListParagraph"/>
                    <w:numPr>
                      <w:ilvl w:val="0"/>
                      <w:numId w:val="1"/>
                    </w:numPr>
                    <w:ind w:left="567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E251E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8"/>
                      <w:szCs w:val="28"/>
                    </w:rPr>
                    <w:t>Definition of Terms and Concepts</w:t>
                  </w:r>
                </w:p>
              </w:txbxContent>
            </v:textbox>
          </v:roundrect>
        </w:pict>
      </w:r>
    </w:p>
    <w:p w14:paraId="53B85B8F" w14:textId="77777777" w:rsidR="007C47B6" w:rsidRPr="00572686" w:rsidRDefault="007C47B6" w:rsidP="00977568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629D6D6A" w14:textId="77777777" w:rsidR="00EE05DF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4C7B6DFF" w14:textId="77777777" w:rsidR="001A7B90" w:rsidRPr="00266BC6" w:rsidRDefault="001A7B90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977568">
        <w:rPr>
          <w:rFonts w:ascii="Arial" w:hAnsi="Arial" w:cs="Arial"/>
          <w:b/>
          <w:bCs/>
          <w:spacing w:val="-6"/>
          <w:sz w:val="28"/>
          <w:szCs w:val="28"/>
        </w:rPr>
        <w:t>Household</w:t>
      </w:r>
      <w:r w:rsidRPr="00977568">
        <w:rPr>
          <w:rFonts w:ascii="Arial" w:hAnsi="Arial" w:cs="Arial"/>
          <w:spacing w:val="-6"/>
          <w:sz w:val="28"/>
          <w:szCs w:val="28"/>
        </w:rPr>
        <w:t xml:space="preserve"> is a social unit consisting of person or a group of persons</w:t>
      </w:r>
      <w:r>
        <w:rPr>
          <w:rFonts w:ascii="Arial" w:hAnsi="Arial" w:cs="Arial"/>
          <w:sz w:val="28"/>
          <w:szCs w:val="28"/>
        </w:rPr>
        <w:t xml:space="preserve"> </w:t>
      </w:r>
      <w:r w:rsidRPr="00266BC6">
        <w:rPr>
          <w:rFonts w:ascii="Arial" w:hAnsi="Arial" w:cs="Arial"/>
          <w:sz w:val="28"/>
          <w:szCs w:val="28"/>
        </w:rPr>
        <w:t xml:space="preserve">who sleep in the same housing unit and have a </w:t>
      </w:r>
      <w:r w:rsidR="00831AEF" w:rsidRPr="00266BC6">
        <w:rPr>
          <w:rFonts w:ascii="Arial" w:hAnsi="Arial" w:cs="Arial"/>
          <w:sz w:val="28"/>
          <w:szCs w:val="28"/>
        </w:rPr>
        <w:t>common arrangement</w:t>
      </w:r>
      <w:r w:rsidRPr="00266BC6">
        <w:rPr>
          <w:rFonts w:ascii="Arial" w:hAnsi="Arial" w:cs="Arial"/>
          <w:sz w:val="28"/>
          <w:szCs w:val="28"/>
        </w:rPr>
        <w:t xml:space="preserve"> in the preparation and consumption of food.</w:t>
      </w:r>
    </w:p>
    <w:p w14:paraId="3637BE75" w14:textId="77777777" w:rsidR="00EE05DF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13925AC9" w14:textId="77777777" w:rsidR="001A7B90" w:rsidRPr="00977568" w:rsidRDefault="001A7B90" w:rsidP="00977568">
      <w:pPr>
        <w:spacing w:after="0" w:line="240" w:lineRule="auto"/>
        <w:ind w:firstLine="720"/>
        <w:jc w:val="both"/>
        <w:rPr>
          <w:rFonts w:ascii="Arial" w:hAnsi="Arial" w:cs="Arial"/>
          <w:spacing w:val="-6"/>
          <w:sz w:val="28"/>
          <w:szCs w:val="28"/>
        </w:rPr>
      </w:pPr>
      <w:r w:rsidRPr="00977568">
        <w:rPr>
          <w:rFonts w:ascii="Arial" w:hAnsi="Arial" w:cs="Arial"/>
          <w:b/>
          <w:bCs/>
          <w:spacing w:val="-6"/>
          <w:sz w:val="28"/>
          <w:szCs w:val="28"/>
        </w:rPr>
        <w:t>Household population</w:t>
      </w:r>
      <w:r w:rsidRPr="00977568">
        <w:rPr>
          <w:rFonts w:ascii="Arial" w:hAnsi="Arial" w:cs="Arial"/>
          <w:spacing w:val="-6"/>
          <w:sz w:val="28"/>
          <w:szCs w:val="28"/>
        </w:rPr>
        <w:t xml:space="preserve"> refers to all persons who are members of the household.</w:t>
      </w:r>
    </w:p>
    <w:p w14:paraId="70B1810C" w14:textId="77777777" w:rsidR="00EE05DF" w:rsidRDefault="00EE05DF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64B093C1" w14:textId="77777777" w:rsidR="00AC2D1A" w:rsidRDefault="00AC2D1A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Sex</w:t>
      </w:r>
      <w:r w:rsidRPr="00977568">
        <w:rPr>
          <w:rFonts w:ascii="Arial" w:hAnsi="Arial" w:cs="Arial"/>
          <w:bCs/>
          <w:sz w:val="28"/>
          <w:szCs w:val="28"/>
        </w:rPr>
        <w:t xml:space="preserve"> is the </w:t>
      </w:r>
      <w:r w:rsidR="002D1703" w:rsidRPr="00977568">
        <w:rPr>
          <w:rFonts w:ascii="Arial" w:hAnsi="Arial" w:cs="Arial"/>
          <w:bCs/>
          <w:sz w:val="28"/>
          <w:szCs w:val="28"/>
        </w:rPr>
        <w:t xml:space="preserve">biological and physiological reality of being </w:t>
      </w:r>
      <w:r w:rsidR="002D1703">
        <w:rPr>
          <w:rFonts w:ascii="Arial" w:hAnsi="Arial" w:cs="Arial"/>
          <w:bCs/>
          <w:sz w:val="28"/>
          <w:szCs w:val="28"/>
        </w:rPr>
        <w:t xml:space="preserve">a </w:t>
      </w:r>
      <w:r w:rsidR="002D1703" w:rsidRPr="00977568">
        <w:rPr>
          <w:rFonts w:ascii="Arial" w:hAnsi="Arial" w:cs="Arial"/>
          <w:bCs/>
          <w:sz w:val="28"/>
          <w:szCs w:val="28"/>
        </w:rPr>
        <w:t>male or female</w:t>
      </w:r>
      <w:r w:rsidR="002D1703">
        <w:rPr>
          <w:rFonts w:ascii="Arial" w:hAnsi="Arial" w:cs="Arial"/>
          <w:bCs/>
          <w:sz w:val="28"/>
          <w:szCs w:val="28"/>
        </w:rPr>
        <w:t>.</w:t>
      </w:r>
    </w:p>
    <w:p w14:paraId="6521509E" w14:textId="77777777" w:rsidR="00AC2D1A" w:rsidRDefault="00AC2D1A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4A1EA0C1" w14:textId="204AA70C" w:rsidR="00266BC6" w:rsidRDefault="00266BC6" w:rsidP="00266BC6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Age </w:t>
      </w:r>
      <w:r>
        <w:rPr>
          <w:rFonts w:ascii="Arial" w:hAnsi="Arial" w:cs="Arial"/>
          <w:sz w:val="28"/>
          <w:szCs w:val="28"/>
        </w:rPr>
        <w:t>refers to</w:t>
      </w:r>
      <w:r w:rsidR="00290D5A">
        <w:rPr>
          <w:rFonts w:ascii="Arial" w:hAnsi="Arial" w:cs="Arial"/>
          <w:sz w:val="28"/>
          <w:szCs w:val="28"/>
        </w:rPr>
        <w:t xml:space="preserve"> the</w:t>
      </w:r>
      <w:r>
        <w:rPr>
          <w:rFonts w:ascii="Arial" w:hAnsi="Arial" w:cs="Arial"/>
          <w:sz w:val="28"/>
          <w:szCs w:val="28"/>
        </w:rPr>
        <w:t xml:space="preserve"> interval of time between the person’s date of birth and his/her last birthday prior to the census reference date. It is expressed in completed years or whole number.</w:t>
      </w:r>
    </w:p>
    <w:p w14:paraId="1409E069" w14:textId="77777777" w:rsidR="00266BC6" w:rsidRDefault="00266BC6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59F2DCE2" w14:textId="77777777" w:rsidR="00266BC6" w:rsidRDefault="00266BC6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5510A18B" w14:textId="77777777" w:rsidR="00266BC6" w:rsidRDefault="00266BC6" w:rsidP="00266BC6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2D1703">
        <w:rPr>
          <w:rFonts w:ascii="Arial" w:hAnsi="Arial" w:cs="Arial"/>
          <w:b/>
          <w:bCs/>
          <w:spacing w:val="-2"/>
          <w:sz w:val="28"/>
          <w:szCs w:val="28"/>
        </w:rPr>
        <w:lastRenderedPageBreak/>
        <w:t>Age-sex structure</w:t>
      </w:r>
      <w:r w:rsidRPr="002D1703">
        <w:rPr>
          <w:spacing w:val="-2"/>
        </w:rPr>
        <w:t xml:space="preserve"> </w:t>
      </w:r>
      <w:r w:rsidRPr="002D1703">
        <w:rPr>
          <w:rFonts w:ascii="Arial" w:hAnsi="Arial" w:cs="Arial"/>
          <w:spacing w:val="-2"/>
          <w:sz w:val="28"/>
          <w:szCs w:val="28"/>
        </w:rPr>
        <w:t>is the composition of a population as determined</w:t>
      </w:r>
      <w:r w:rsidRPr="00D03E1A">
        <w:rPr>
          <w:rFonts w:ascii="Arial" w:hAnsi="Arial" w:cs="Arial"/>
          <w:sz w:val="28"/>
          <w:szCs w:val="28"/>
        </w:rPr>
        <w:t xml:space="preserve"> by the number or proportion of males and females in each age category. The age-sex structure of a population is the cumulative result of past trends in fertility, mortality, and migration. Information on age-sex composition is essential for the description and analysis of many other types of demographic data. </w:t>
      </w:r>
    </w:p>
    <w:p w14:paraId="7A122A5C" w14:textId="77777777" w:rsidR="00266BC6" w:rsidRDefault="00266BC6" w:rsidP="00266BC6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25EFF599" w14:textId="77777777" w:rsidR="00266BC6" w:rsidRDefault="00266BC6" w:rsidP="00266BC6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417A5F">
        <w:rPr>
          <w:rFonts w:ascii="Arial" w:hAnsi="Arial" w:cs="Arial"/>
          <w:b/>
          <w:bCs/>
          <w:sz w:val="28"/>
          <w:szCs w:val="28"/>
        </w:rPr>
        <w:t xml:space="preserve">Population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417A5F">
        <w:rPr>
          <w:rFonts w:ascii="Arial" w:hAnsi="Arial" w:cs="Arial"/>
          <w:b/>
          <w:bCs/>
          <w:sz w:val="28"/>
          <w:szCs w:val="28"/>
        </w:rPr>
        <w:t>yramid</w:t>
      </w:r>
      <w:r w:rsidRPr="0019382B">
        <w:rPr>
          <w:rFonts w:ascii="Arial" w:hAnsi="Arial" w:cs="Arial"/>
          <w:sz w:val="28"/>
          <w:szCs w:val="28"/>
        </w:rPr>
        <w:t xml:space="preserve"> is</w:t>
      </w:r>
      <w:r>
        <w:t xml:space="preserve"> </w:t>
      </w:r>
      <w:r w:rsidRPr="00417A5F">
        <w:rPr>
          <w:rFonts w:ascii="Arial" w:hAnsi="Arial" w:cs="Arial"/>
          <w:sz w:val="28"/>
          <w:szCs w:val="28"/>
        </w:rPr>
        <w:t>a bar chart, arranged vertically, that shows the distribution of a population by age and sex. By convention, the younger ages are at the bottom, with males on the left and females on the right.</w:t>
      </w:r>
    </w:p>
    <w:p w14:paraId="01ADB0E6" w14:textId="77777777" w:rsidR="00266BC6" w:rsidRDefault="00266BC6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7F681183" w14:textId="77777777" w:rsidR="001A7B90" w:rsidRDefault="001A7B90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7C47B6">
        <w:rPr>
          <w:rFonts w:ascii="Arial" w:hAnsi="Arial" w:cs="Arial"/>
          <w:b/>
          <w:bCs/>
          <w:sz w:val="28"/>
          <w:szCs w:val="28"/>
        </w:rPr>
        <w:t>Sex ratio</w:t>
      </w:r>
      <w:r>
        <w:rPr>
          <w:rFonts w:ascii="Arial" w:hAnsi="Arial" w:cs="Arial"/>
          <w:sz w:val="28"/>
          <w:szCs w:val="28"/>
        </w:rPr>
        <w:t xml:space="preserve"> is the number of males per one hundred females in </w:t>
      </w:r>
      <w:r w:rsidR="002D1703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population.</w:t>
      </w:r>
    </w:p>
    <w:p w14:paraId="5674C401" w14:textId="77777777" w:rsidR="001A7B90" w:rsidRDefault="001A7B90" w:rsidP="00977568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8903D0B" w14:textId="77777777" w:rsidR="00AC2D1A" w:rsidRDefault="00AC2D1A" w:rsidP="00AC2D1A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7C47B6">
        <w:rPr>
          <w:rFonts w:ascii="Arial" w:hAnsi="Arial" w:cs="Arial"/>
          <w:b/>
          <w:bCs/>
          <w:sz w:val="28"/>
          <w:szCs w:val="28"/>
        </w:rPr>
        <w:t>Median age</w:t>
      </w:r>
      <w:r>
        <w:rPr>
          <w:rFonts w:ascii="Arial" w:hAnsi="Arial" w:cs="Arial"/>
          <w:sz w:val="28"/>
          <w:szCs w:val="28"/>
        </w:rPr>
        <w:t xml:space="preserve"> is the age that divides the population into two numerically equal groups</w:t>
      </w:r>
      <w:r w:rsidR="00CC7892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that is, half of the population are younger than this age and the other half are older.</w:t>
      </w:r>
    </w:p>
    <w:p w14:paraId="3082B14E" w14:textId="77777777" w:rsidR="00CC7892" w:rsidRDefault="00CC7892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20D8BCCD" w14:textId="77777777" w:rsidR="00E942D4" w:rsidRPr="00977568" w:rsidRDefault="001A7B90" w:rsidP="00977568">
      <w:pPr>
        <w:spacing w:after="0" w:line="240" w:lineRule="auto"/>
        <w:ind w:firstLine="720"/>
        <w:jc w:val="both"/>
        <w:rPr>
          <w:rFonts w:ascii="Arial" w:hAnsi="Arial" w:cs="Arial"/>
          <w:spacing w:val="-4"/>
          <w:sz w:val="28"/>
          <w:szCs w:val="28"/>
        </w:rPr>
      </w:pPr>
      <w:r w:rsidRPr="00977568">
        <w:rPr>
          <w:rFonts w:ascii="Arial" w:hAnsi="Arial" w:cs="Arial"/>
          <w:b/>
          <w:bCs/>
          <w:spacing w:val="-4"/>
          <w:sz w:val="28"/>
          <w:szCs w:val="28"/>
        </w:rPr>
        <w:t>Overall dependency ratio</w:t>
      </w:r>
      <w:r w:rsidRPr="00977568">
        <w:rPr>
          <w:rFonts w:ascii="Arial" w:hAnsi="Arial" w:cs="Arial"/>
          <w:spacing w:val="-4"/>
          <w:sz w:val="28"/>
          <w:szCs w:val="28"/>
        </w:rPr>
        <w:t xml:space="preserve"> is the number of persons under 15 years old (young dependents) and persons aged 65 and older (</w:t>
      </w:r>
      <w:r w:rsidR="00E942D4" w:rsidRPr="00977568">
        <w:rPr>
          <w:rFonts w:ascii="Arial" w:hAnsi="Arial" w:cs="Arial"/>
          <w:spacing w:val="-4"/>
          <w:sz w:val="28"/>
          <w:szCs w:val="28"/>
        </w:rPr>
        <w:t>old dependents) per on</w:t>
      </w:r>
      <w:r w:rsidR="00D03E1A" w:rsidRPr="00977568">
        <w:rPr>
          <w:rFonts w:ascii="Arial" w:hAnsi="Arial" w:cs="Arial"/>
          <w:spacing w:val="-4"/>
          <w:sz w:val="28"/>
          <w:szCs w:val="28"/>
        </w:rPr>
        <w:t>e</w:t>
      </w:r>
      <w:r w:rsidR="00E942D4" w:rsidRPr="00977568">
        <w:rPr>
          <w:rFonts w:ascii="Arial" w:hAnsi="Arial" w:cs="Arial"/>
          <w:spacing w:val="-4"/>
          <w:sz w:val="28"/>
          <w:szCs w:val="28"/>
        </w:rPr>
        <w:t xml:space="preserve"> hundred persons 15 to 64 years old (working-age </w:t>
      </w:r>
      <w:r w:rsidR="002D1703" w:rsidRPr="00977568">
        <w:rPr>
          <w:rFonts w:ascii="Arial" w:hAnsi="Arial" w:cs="Arial"/>
          <w:spacing w:val="-4"/>
          <w:sz w:val="28"/>
          <w:szCs w:val="28"/>
        </w:rPr>
        <w:t xml:space="preserve">or economically-productive </w:t>
      </w:r>
      <w:r w:rsidR="00E942D4" w:rsidRPr="00977568">
        <w:rPr>
          <w:rFonts w:ascii="Arial" w:hAnsi="Arial" w:cs="Arial"/>
          <w:spacing w:val="-4"/>
          <w:sz w:val="28"/>
          <w:szCs w:val="28"/>
        </w:rPr>
        <w:t>group)</w:t>
      </w:r>
      <w:r w:rsidR="00D03E1A" w:rsidRPr="00977568">
        <w:rPr>
          <w:rFonts w:ascii="Arial" w:hAnsi="Arial" w:cs="Arial"/>
          <w:spacing w:val="-4"/>
          <w:sz w:val="28"/>
          <w:szCs w:val="28"/>
        </w:rPr>
        <w:t xml:space="preserve"> in a population</w:t>
      </w:r>
      <w:r w:rsidR="00E942D4" w:rsidRPr="00977568">
        <w:rPr>
          <w:rFonts w:ascii="Arial" w:hAnsi="Arial" w:cs="Arial"/>
          <w:spacing w:val="-4"/>
          <w:sz w:val="28"/>
          <w:szCs w:val="28"/>
        </w:rPr>
        <w:t>.</w:t>
      </w:r>
    </w:p>
    <w:p w14:paraId="35CFD88B" w14:textId="77777777" w:rsidR="00AC2D1A" w:rsidRDefault="00AC2D1A" w:rsidP="00977568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01B31EB2" w14:textId="77777777" w:rsidR="00E20079" w:rsidRDefault="00E20079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977568">
        <w:rPr>
          <w:rFonts w:ascii="Arial" w:hAnsi="Arial" w:cs="Arial"/>
          <w:b/>
          <w:bCs/>
          <w:sz w:val="28"/>
          <w:szCs w:val="28"/>
        </w:rPr>
        <w:t xml:space="preserve">Aging of </w:t>
      </w:r>
      <w:r w:rsidR="002D1703">
        <w:rPr>
          <w:rFonts w:ascii="Arial" w:hAnsi="Arial" w:cs="Arial"/>
          <w:b/>
          <w:bCs/>
          <w:sz w:val="28"/>
          <w:szCs w:val="28"/>
        </w:rPr>
        <w:t>p</w:t>
      </w:r>
      <w:r w:rsidRPr="00977568">
        <w:rPr>
          <w:rFonts w:ascii="Arial" w:hAnsi="Arial" w:cs="Arial"/>
          <w:b/>
          <w:bCs/>
          <w:sz w:val="28"/>
          <w:szCs w:val="28"/>
        </w:rPr>
        <w:t>opulation</w:t>
      </w:r>
      <w:r>
        <w:t xml:space="preserve"> </w:t>
      </w:r>
      <w:r w:rsidR="00266BC6" w:rsidRPr="00977568">
        <w:rPr>
          <w:rFonts w:ascii="Arial" w:hAnsi="Arial" w:cs="Arial"/>
          <w:sz w:val="28"/>
          <w:szCs w:val="28"/>
        </w:rPr>
        <w:t>is</w:t>
      </w:r>
      <w:r w:rsidRPr="00977568">
        <w:rPr>
          <w:rFonts w:ascii="Arial" w:hAnsi="Arial" w:cs="Arial"/>
          <w:sz w:val="28"/>
          <w:szCs w:val="28"/>
        </w:rPr>
        <w:t xml:space="preserve"> </w:t>
      </w:r>
      <w:r w:rsidR="00266BC6">
        <w:rPr>
          <w:rFonts w:ascii="Arial" w:hAnsi="Arial" w:cs="Arial"/>
          <w:sz w:val="28"/>
          <w:szCs w:val="28"/>
        </w:rPr>
        <w:t>a</w:t>
      </w:r>
      <w:r w:rsidRPr="00977568">
        <w:rPr>
          <w:rFonts w:ascii="Arial" w:hAnsi="Arial" w:cs="Arial"/>
          <w:sz w:val="28"/>
          <w:szCs w:val="28"/>
        </w:rPr>
        <w:t xml:space="preserve"> process in which the proportions of adults and elderly increase in a population, while the proportions of children and adolescents decrease. This process results in a rise in the median age of the population. Aging occurs when fertility rates decline while life expectancy remains constant or improves at the older ages.</w:t>
      </w:r>
    </w:p>
    <w:p w14:paraId="4FAD501B" w14:textId="77777777" w:rsidR="00E20079" w:rsidRDefault="00E20079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46E6F38D" w14:textId="77777777" w:rsidR="00266BC6" w:rsidRDefault="00266BC6" w:rsidP="00266BC6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7C47B6">
        <w:rPr>
          <w:rFonts w:ascii="Arial" w:hAnsi="Arial" w:cs="Arial"/>
          <w:b/>
          <w:bCs/>
          <w:sz w:val="28"/>
          <w:szCs w:val="28"/>
        </w:rPr>
        <w:t>Aging index</w:t>
      </w:r>
      <w:r>
        <w:rPr>
          <w:rFonts w:ascii="Arial" w:hAnsi="Arial" w:cs="Arial"/>
          <w:sz w:val="28"/>
          <w:szCs w:val="28"/>
        </w:rPr>
        <w:t xml:space="preserve"> is calculated as the number of persons 60 years old and over per one hundred persons under the age of 15 years.</w:t>
      </w:r>
    </w:p>
    <w:p w14:paraId="251A4D9A" w14:textId="77777777" w:rsidR="00266BC6" w:rsidRDefault="00266BC6" w:rsidP="00266BC6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7D1FDD91" w14:textId="77777777" w:rsidR="00266BC6" w:rsidRDefault="00266BC6" w:rsidP="00977568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4A83EE99" w14:textId="77777777" w:rsidR="00E942D4" w:rsidRDefault="00E942D4" w:rsidP="00977568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2654537" w14:textId="77777777" w:rsidR="001A7B90" w:rsidRPr="00A367DD" w:rsidRDefault="001A7B90" w:rsidP="00977568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21D1C75" w14:textId="77777777" w:rsidR="00A367DD" w:rsidRDefault="00A367DD" w:rsidP="00977568">
      <w:pPr>
        <w:spacing w:after="0" w:line="240" w:lineRule="auto"/>
      </w:pPr>
    </w:p>
    <w:sectPr w:rsidR="00A367DD" w:rsidSect="00977568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35E2" w14:textId="77777777" w:rsidR="00E13E90" w:rsidRDefault="00E13E90" w:rsidP="0041766A">
      <w:pPr>
        <w:spacing w:after="0" w:line="240" w:lineRule="auto"/>
      </w:pPr>
      <w:r>
        <w:separator/>
      </w:r>
    </w:p>
  </w:endnote>
  <w:endnote w:type="continuationSeparator" w:id="0">
    <w:p w14:paraId="702EA4A6" w14:textId="77777777" w:rsidR="00E13E90" w:rsidRDefault="00E13E90" w:rsidP="0041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  <w:szCs w:val="18"/>
      </w:rPr>
      <w:id w:val="-143743819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B340A8" w14:textId="75A4ACBA" w:rsidR="0041766A" w:rsidRPr="00CE58FA" w:rsidRDefault="0041766A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E58FA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E58F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E58FA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Pr="00CE58F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58FA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Pr="00CE58F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E58FA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E58F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CE58FA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Pr="00CE58F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E58FA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Pr="00CE58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sdtContent>
      </w:sdt>
    </w:sdtContent>
  </w:sdt>
  <w:p w14:paraId="329CFD5E" w14:textId="77777777" w:rsidR="0041766A" w:rsidRPr="00CE58FA" w:rsidRDefault="0041766A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5C23" w14:textId="77777777" w:rsidR="00E13E90" w:rsidRDefault="00E13E90" w:rsidP="0041766A">
      <w:pPr>
        <w:spacing w:after="0" w:line="240" w:lineRule="auto"/>
      </w:pPr>
      <w:r>
        <w:separator/>
      </w:r>
    </w:p>
  </w:footnote>
  <w:footnote w:type="continuationSeparator" w:id="0">
    <w:p w14:paraId="3439E626" w14:textId="77777777" w:rsidR="00E13E90" w:rsidRDefault="00E13E90" w:rsidP="00417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2E6"/>
    <w:multiLevelType w:val="hybridMultilevel"/>
    <w:tmpl w:val="144E76B6"/>
    <w:lvl w:ilvl="0" w:tplc="BD1A0218">
      <w:start w:val="1"/>
      <w:numFmt w:val="upperRoman"/>
      <w:lvlText w:val="%1."/>
      <w:lvlJc w:val="right"/>
      <w:pPr>
        <w:ind w:left="4500" w:hanging="360"/>
      </w:pPr>
      <w:rPr>
        <w:color w:val="FFFFFF" w:themeColor="background1"/>
      </w:rPr>
    </w:lvl>
    <w:lvl w:ilvl="1" w:tplc="34090019" w:tentative="1">
      <w:start w:val="1"/>
      <w:numFmt w:val="lowerLetter"/>
      <w:lvlText w:val="%2."/>
      <w:lvlJc w:val="left"/>
      <w:pPr>
        <w:ind w:left="1724" w:hanging="360"/>
      </w:pPr>
    </w:lvl>
    <w:lvl w:ilvl="2" w:tplc="3409001B" w:tentative="1">
      <w:start w:val="1"/>
      <w:numFmt w:val="lowerRoman"/>
      <w:lvlText w:val="%3."/>
      <w:lvlJc w:val="right"/>
      <w:pPr>
        <w:ind w:left="2444" w:hanging="180"/>
      </w:pPr>
    </w:lvl>
    <w:lvl w:ilvl="3" w:tplc="3409000F" w:tentative="1">
      <w:start w:val="1"/>
      <w:numFmt w:val="decimal"/>
      <w:lvlText w:val="%4."/>
      <w:lvlJc w:val="left"/>
      <w:pPr>
        <w:ind w:left="3164" w:hanging="360"/>
      </w:pPr>
    </w:lvl>
    <w:lvl w:ilvl="4" w:tplc="34090019" w:tentative="1">
      <w:start w:val="1"/>
      <w:numFmt w:val="lowerLetter"/>
      <w:lvlText w:val="%5."/>
      <w:lvlJc w:val="left"/>
      <w:pPr>
        <w:ind w:left="3884" w:hanging="360"/>
      </w:pPr>
    </w:lvl>
    <w:lvl w:ilvl="5" w:tplc="3409001B" w:tentative="1">
      <w:start w:val="1"/>
      <w:numFmt w:val="lowerRoman"/>
      <w:lvlText w:val="%6."/>
      <w:lvlJc w:val="right"/>
      <w:pPr>
        <w:ind w:left="4604" w:hanging="180"/>
      </w:pPr>
    </w:lvl>
    <w:lvl w:ilvl="6" w:tplc="3409000F" w:tentative="1">
      <w:start w:val="1"/>
      <w:numFmt w:val="decimal"/>
      <w:lvlText w:val="%7."/>
      <w:lvlJc w:val="left"/>
      <w:pPr>
        <w:ind w:left="5324" w:hanging="360"/>
      </w:pPr>
    </w:lvl>
    <w:lvl w:ilvl="7" w:tplc="34090019" w:tentative="1">
      <w:start w:val="1"/>
      <w:numFmt w:val="lowerLetter"/>
      <w:lvlText w:val="%8."/>
      <w:lvlJc w:val="left"/>
      <w:pPr>
        <w:ind w:left="6044" w:hanging="360"/>
      </w:pPr>
    </w:lvl>
    <w:lvl w:ilvl="8" w:tplc="3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529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7DD"/>
    <w:rsid w:val="000E3FCB"/>
    <w:rsid w:val="0019382B"/>
    <w:rsid w:val="001A7B90"/>
    <w:rsid w:val="00266BC6"/>
    <w:rsid w:val="00290D5A"/>
    <w:rsid w:val="002D1703"/>
    <w:rsid w:val="0041766A"/>
    <w:rsid w:val="00417A5F"/>
    <w:rsid w:val="004D35FB"/>
    <w:rsid w:val="00572686"/>
    <w:rsid w:val="006E4A51"/>
    <w:rsid w:val="007C47B6"/>
    <w:rsid w:val="00831AEF"/>
    <w:rsid w:val="00977568"/>
    <w:rsid w:val="00A367DD"/>
    <w:rsid w:val="00AB7D84"/>
    <w:rsid w:val="00AC2D1A"/>
    <w:rsid w:val="00AE1FC9"/>
    <w:rsid w:val="00C05A14"/>
    <w:rsid w:val="00CC7892"/>
    <w:rsid w:val="00CE58FA"/>
    <w:rsid w:val="00D03E1A"/>
    <w:rsid w:val="00D217DD"/>
    <w:rsid w:val="00E13E90"/>
    <w:rsid w:val="00E20079"/>
    <w:rsid w:val="00E942D4"/>
    <w:rsid w:val="00ED77AF"/>
    <w:rsid w:val="00E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EE5A22"/>
  <w15:docId w15:val="{146BF01B-F708-4522-A656-9D74C157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CB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Revision">
    <w:name w:val="Revision"/>
    <w:hidden/>
    <w:uiPriority w:val="99"/>
    <w:semiHidden/>
    <w:rsid w:val="00290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6A"/>
  </w:style>
  <w:style w:type="paragraph" w:styleId="Footer">
    <w:name w:val="footer"/>
    <w:basedOn w:val="Normal"/>
    <w:link w:val="FooterChar"/>
    <w:uiPriority w:val="99"/>
    <w:unhideWhenUsed/>
    <w:rsid w:val="0041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86B5-A4D0-498B-9552-608EC63E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Jonel Villablanca</dc:creator>
  <cp:lastModifiedBy>ONS Core CRD</cp:lastModifiedBy>
  <cp:revision>12</cp:revision>
  <dcterms:created xsi:type="dcterms:W3CDTF">2022-07-16T04:01:00Z</dcterms:created>
  <dcterms:modified xsi:type="dcterms:W3CDTF">2022-08-12T05:39:00Z</dcterms:modified>
</cp:coreProperties>
</file>