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before="0" w:after="60" w:line="240" w:lineRule="auto"/>
        <w:jc w:val="left"/>
      </w:pPr>
      <w:r>
        <w:rPr>
          <w:rFonts w:ascii="Arial" w:hAnsi="Arial"/>
          <w:b w:val="0"/>
          <w:color w:val="000000"/>
          <w:sz w:val="52"/>
        </w:rPr>
        <w:t>Eligibility Policy</w:t>
      </w:r>
    </w:p>
    <w:p>
      <w:pPr>
        <w:keepNext/>
        <w:widowControl/>
        <w:spacing w:before="0" w:after="200" w:line="276" w:lineRule="auto"/>
      </w:pPr>
      <w:r>
        <w:rPr>
          <w:rFonts w:ascii="Arial" w:hAnsi="Arial"/>
          <w:b w:val="0"/>
          <w:color w:val="555555"/>
          <w:sz w:val="22"/>
        </w:rPr>
        <w:t>Northstar Benefits  ·  Version 4  ·  Effective June 1, 2026</w:t>
      </w:r>
    </w:p>
    <w:p>
      <w:pPr>
        <w:pStyle w:val="Heading2"/>
      </w:pPr>
      <w:r>
        <w:t>§4.2 Eligibility age</w:t>
      </w:r>
    </w:p>
    <w:p>
      <w:pPr>
        <w:keepLines/>
      </w:pPr>
      <w:r>
        <w:rPr>
          <w:rFonts w:ascii="Arial" w:hAnsi="Arial"/>
          <w:b w:val="0"/>
          <w:color w:val="000000"/>
          <w:sz w:val="22"/>
        </w:rPr>
        <w:t>Applicants must be at least 18 years old on the date of enrollment.</w:t>
      </w:r>
    </w:p>
    <w:p>
      <w:pPr>
        <w:pStyle w:val="Heading2"/>
      </w:pPr>
      <w:r>
        <w:t>§7.1 Waiting period</w:t>
      </w:r>
    </w:p>
    <w:p>
      <w:pPr>
        <w:keepLines/>
      </w:pPr>
      <w:r>
        <w:rPr>
          <w:rFonts w:ascii="Arial" w:hAnsi="Arial"/>
          <w:b w:val="0"/>
          <w:color w:val="000000"/>
          <w:sz w:val="22"/>
        </w:rPr>
        <w:t>The 30-day waiting period begins on the confirmed application date.</w:t>
      </w:r>
    </w:p>
    <w:p>
      <w:pPr>
        <w:pStyle w:val="Heading2"/>
      </w:pPr>
      <w:r>
        <w:t>§9.3 Contractor classification</w:t>
      </w:r>
    </w:p>
    <w:p>
      <w:pPr>
        <w:keepLines/>
      </w:pPr>
      <w:r>
        <w:rPr>
          <w:rFonts w:ascii="Arial" w:hAnsi="Arial"/>
          <w:b w:val="0"/>
          <w:color w:val="000000"/>
          <w:sz w:val="22"/>
        </w:rPr>
        <w:t>Contractor eligibility follows the applicable written agreement.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