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89C86" w14:textId="77777777" w:rsidR="003D4DFA" w:rsidRDefault="00000000">
      <w:pPr>
        <w:spacing w:before="240" w:after="240"/>
        <w:jc w:val="center"/>
      </w:pPr>
      <w:r>
        <w:rPr>
          <w:b/>
          <w:bCs/>
          <w:sz w:val="24"/>
          <w:szCs w:val="24"/>
        </w:rPr>
        <w:t>CHAPTER 2</w:t>
      </w:r>
    </w:p>
    <w:p w14:paraId="7B39BC15" w14:textId="77777777" w:rsidR="003D4DFA" w:rsidRDefault="00000000">
      <w:pPr>
        <w:spacing w:before="240" w:after="240"/>
        <w:jc w:val="center"/>
      </w:pPr>
      <w:r>
        <w:rPr>
          <w:b/>
          <w:bCs/>
          <w:sz w:val="24"/>
          <w:szCs w:val="24"/>
        </w:rPr>
        <w:t>REVIEW OF RELATED LITERATURE AND STUDIES</w:t>
      </w:r>
    </w:p>
    <w:p w14:paraId="70F1781F" w14:textId="2CEC32B7" w:rsidR="003D4DFA" w:rsidRDefault="00B9106D">
      <w:pPr>
        <w:spacing w:after="200" w:line="480" w:lineRule="auto"/>
        <w:jc w:val="both"/>
      </w:pPr>
      <w:r>
        <w:rPr>
          <w:sz w:val="24"/>
          <w:szCs w:val="24"/>
        </w:rPr>
        <w:tab/>
        <w:t xml:space="preserve">This chapter presents the related literature and studies gathered by the researchers to establish the research foundation for </w:t>
      </w:r>
      <w:r w:rsidR="00EB3D4A">
        <w:rPr>
          <w:sz w:val="24"/>
          <w:szCs w:val="24"/>
        </w:rPr>
        <w:t>AGORA - Agent Generator and OCR-based Recognition Assistant for Quiz Automation, AI-Assisted Learning Plan Generation, and Student Retention Analytics</w:t>
      </w:r>
      <w:r>
        <w:rPr>
          <w:sz w:val="24"/>
          <w:szCs w:val="24"/>
        </w:rPr>
        <w:t>. The materials reviewed are organized into foreign and local literature, followed by foreign and local studies, drawn from peer-reviewed journals, conference proceedings, and institutional publications relevant to optical character recognition (OCR)-based assessment, agentic and generative artificial intelligence in instructional planning, and academic retention analytics</w:t>
      </w:r>
      <w:r w:rsidR="00075C64">
        <w:rPr>
          <w:sz w:val="24"/>
          <w:szCs w:val="24"/>
        </w:rPr>
        <w:t>.</w:t>
      </w:r>
    </w:p>
    <w:p w14:paraId="7A9A3F42" w14:textId="77777777" w:rsidR="003D4DFA" w:rsidRDefault="00000000">
      <w:pPr>
        <w:spacing w:before="300" w:after="200"/>
        <w:jc w:val="center"/>
      </w:pPr>
      <w:r>
        <w:rPr>
          <w:b/>
          <w:bCs/>
          <w:sz w:val="24"/>
          <w:szCs w:val="24"/>
        </w:rPr>
        <w:t>Foreign Literature</w:t>
      </w:r>
    </w:p>
    <w:p w14:paraId="0A79CCE1" w14:textId="62F27FB5" w:rsidR="003D4DFA" w:rsidRDefault="00B9106D">
      <w:pPr>
        <w:spacing w:after="200" w:line="480" w:lineRule="auto"/>
        <w:jc w:val="both"/>
      </w:pPr>
      <w:r>
        <w:rPr>
          <w:sz w:val="24"/>
          <w:szCs w:val="24"/>
        </w:rPr>
        <w:tab/>
        <w:t xml:space="preserve">Foreign literature relevant to </w:t>
      </w:r>
      <w:r w:rsidR="00EB3D4A">
        <w:rPr>
          <w:sz w:val="24"/>
          <w:szCs w:val="24"/>
        </w:rPr>
        <w:t>AGORA</w:t>
      </w:r>
      <w:r>
        <w:rPr>
          <w:sz w:val="24"/>
          <w:szCs w:val="24"/>
        </w:rPr>
        <w:t xml:space="preserve"> can be grouped around two areas central to the proposed system: the automated grading of handwritten and paper-based assessments, and the use of academic indicators to identify students who may be at risk of falling behind.</w:t>
      </w:r>
    </w:p>
    <w:p w14:paraId="7DB577A0" w14:textId="6306AB06" w:rsidR="003D4DFA" w:rsidRDefault="00B9106D">
      <w:pPr>
        <w:spacing w:after="200" w:line="480" w:lineRule="auto"/>
        <w:jc w:val="both"/>
      </w:pPr>
      <w:r>
        <w:rPr>
          <w:sz w:val="24"/>
          <w:szCs w:val="24"/>
        </w:rPr>
        <w:tab/>
        <w:t xml:space="preserve">On automated grading, several recent reviews describe how optical character recognition (OCR) and natural language processing (NLP) are being combined to check handwritten responses. </w:t>
      </w:r>
      <w:proofErr w:type="spellStart"/>
      <w:r>
        <w:rPr>
          <w:sz w:val="24"/>
          <w:szCs w:val="24"/>
        </w:rPr>
        <w:t>Soppari</w:t>
      </w:r>
      <w:proofErr w:type="spellEnd"/>
      <w:r>
        <w:rPr>
          <w:sz w:val="24"/>
          <w:szCs w:val="24"/>
        </w:rPr>
        <w:t xml:space="preserve"> et al. (2025) reviewed automated evaluation approaches that apply machine learning to word- and letter-level features of handwritten answer scripts and natural language processing to interpret their content, noting that such approaches are intended to address the bias, inconsistency, and delay associated with purely manual evaluation. In a broader systematic review covering ninety-seven studies published between 2015 and 2025, Khan et al. (2025) traced the evolution of OCR models across multiple languages, scripts, and </w:t>
      </w:r>
      <w:r>
        <w:rPr>
          <w:sz w:val="24"/>
          <w:szCs w:val="24"/>
        </w:rPr>
        <w:lastRenderedPageBreak/>
        <w:t xml:space="preserve">data formats, and identified script variation, differing writing styles, and document degradation as persistent challenges in OCR-based text extraction. Hegde (2024) likewise reviewed pipelines in which OCR is used as the backbone for digitizing handwritten responses, after which NLP techniques such as embedding-based similarity and transformer models are applied to score the extracted text. </w:t>
      </w:r>
      <w:proofErr w:type="spellStart"/>
      <w:r>
        <w:rPr>
          <w:sz w:val="24"/>
          <w:szCs w:val="24"/>
        </w:rPr>
        <w:t>Rawther</w:t>
      </w:r>
      <w:proofErr w:type="spellEnd"/>
      <w:r>
        <w:rPr>
          <w:sz w:val="24"/>
          <w:szCs w:val="24"/>
        </w:rPr>
        <w:t xml:space="preserve"> et al. (2025) reviewed a comparable set of approaches for automating answer-sheet evaluation using OCR together with NLP and large language models, discussing both the strengths and the limitations reported for this combination. Mishra and Kumar (2026) described an intelligent answer-sheet evaluation system that applies artificial intelligence across the assessment workflow, from digitization to scoring. Collectively, these reviews support the general approach of pairing OCR-based digitization with automated scoring, which is reflected in </w:t>
      </w:r>
      <w:r w:rsidR="00EB3D4A">
        <w:rPr>
          <w:sz w:val="24"/>
          <w:szCs w:val="24"/>
        </w:rPr>
        <w:t>AGORA</w:t>
      </w:r>
      <w:r>
        <w:rPr>
          <w:sz w:val="24"/>
          <w:szCs w:val="24"/>
        </w:rPr>
        <w:t>'s Hybrid Assessment Ingestion and Automated Evaluation component, while also indicating that OCR accuracy remains an active technical concern for this class of system.</w:t>
      </w:r>
    </w:p>
    <w:p w14:paraId="35BB358E" w14:textId="3DED331F" w:rsidR="003D4DFA" w:rsidRDefault="00B9106D">
      <w:pPr>
        <w:spacing w:after="200" w:line="480" w:lineRule="auto"/>
        <w:jc w:val="both"/>
      </w:pPr>
      <w:r>
        <w:rPr>
          <w:sz w:val="24"/>
          <w:szCs w:val="24"/>
        </w:rPr>
        <w:tab/>
        <w:t xml:space="preserve">On student retention, foreign literature has examined how attendance-, performance-, and engagement-related indicators can be used to identify students who may be at risk. Jayaprakash and Mahoney (2021) demonstrated how time-based student-risk data could be tracked dynamically throughout a term at a regionally based Australian university, rather than being assessed only at the end of a semester. Rodríguez et al. (2023) reported that an early warning system paired with goal-setting interventions was associated with significantly reduced dropout rates and increased engagement among online learners, while Gonzalez-Nucamendi et al. (2023) applied visual analysis and probability adjustments to increase dropout-prediction precision while maintaining high retention precision for institutional interventions. Cardona et al. (2023) conducted a systematic review of data mining and machine </w:t>
      </w:r>
      <w:r>
        <w:rPr>
          <w:sz w:val="24"/>
          <w:szCs w:val="24"/>
        </w:rPr>
        <w:lastRenderedPageBreak/>
        <w:t xml:space="preserve">learning models applied to student retention in higher education, situating attendance- and performance-based indicators within the broader landscape of institutional retention </w:t>
      </w:r>
      <w:proofErr w:type="spellStart"/>
      <w:r>
        <w:rPr>
          <w:sz w:val="24"/>
          <w:szCs w:val="24"/>
        </w:rPr>
        <w:t>modeling</w:t>
      </w:r>
      <w:proofErr w:type="spellEnd"/>
      <w:r>
        <w:rPr>
          <w:sz w:val="24"/>
          <w:szCs w:val="24"/>
        </w:rPr>
        <w:t xml:space="preserve">. </w:t>
      </w:r>
      <w:proofErr w:type="spellStart"/>
      <w:r>
        <w:rPr>
          <w:sz w:val="24"/>
          <w:szCs w:val="24"/>
        </w:rPr>
        <w:t>Kaliisa</w:t>
      </w:r>
      <w:proofErr w:type="spellEnd"/>
      <w:r>
        <w:rPr>
          <w:sz w:val="24"/>
          <w:szCs w:val="24"/>
        </w:rPr>
        <w:t xml:space="preserve"> et al. (2024) similarly conducted a systematic literature review of learning analytics dashboards designed for academic advisors. Together, these sources support the use of a small set of interpretable indicators, such as attendance and assessment performance, together with a dashboard-style visual display, as reflected in </w:t>
      </w:r>
      <w:r w:rsidR="00EB3D4A">
        <w:rPr>
          <w:sz w:val="24"/>
          <w:szCs w:val="24"/>
        </w:rPr>
        <w:t>AGORA</w:t>
      </w:r>
      <w:r>
        <w:rPr>
          <w:sz w:val="24"/>
          <w:szCs w:val="24"/>
        </w:rPr>
        <w:t>'s Student Retention Analytics component.</w:t>
      </w:r>
    </w:p>
    <w:p w14:paraId="6A0248F2" w14:textId="77777777" w:rsidR="003D4DFA" w:rsidRDefault="00000000">
      <w:pPr>
        <w:spacing w:before="300" w:after="200"/>
        <w:jc w:val="center"/>
      </w:pPr>
      <w:r>
        <w:rPr>
          <w:b/>
          <w:bCs/>
          <w:sz w:val="24"/>
          <w:szCs w:val="24"/>
        </w:rPr>
        <w:t>Local Literature</w:t>
      </w:r>
    </w:p>
    <w:p w14:paraId="74B56D3D" w14:textId="3A69C9E4" w:rsidR="003D4DFA" w:rsidRDefault="00B9106D">
      <w:pPr>
        <w:spacing w:after="200" w:line="480" w:lineRule="auto"/>
        <w:jc w:val="both"/>
      </w:pPr>
      <w:r>
        <w:rPr>
          <w:sz w:val="24"/>
          <w:szCs w:val="24"/>
        </w:rPr>
        <w:tab/>
        <w:t xml:space="preserve">Local literature on these specific topics remains comparatively limited, though two available sources directly inform the present study. </w:t>
      </w:r>
      <w:proofErr w:type="spellStart"/>
      <w:r>
        <w:rPr>
          <w:sz w:val="24"/>
          <w:szCs w:val="24"/>
        </w:rPr>
        <w:t>Masula</w:t>
      </w:r>
      <w:proofErr w:type="spellEnd"/>
      <w:r>
        <w:rPr>
          <w:sz w:val="24"/>
          <w:szCs w:val="24"/>
        </w:rPr>
        <w:t xml:space="preserve"> et al. (2024) documented the development of an offline, Android-based test paper checker for Northwestern Visayan Colleges that applies OCR and machine learning to digitize and score handwritten multiple-choice responses without requiring an internet connection; the researchers reported that the application improved grading speed and accuracy and reduced manual errors and processing time relative to conventional checking. Although this work is presented by its own authors as a system-development study, it is included here as evidence that OCR-based grading has already been explored within a Philippine private higher education setting. On the retention side, Bravo (2023) </w:t>
      </w:r>
      <w:proofErr w:type="spellStart"/>
      <w:r>
        <w:rPr>
          <w:sz w:val="24"/>
          <w:szCs w:val="24"/>
        </w:rPr>
        <w:t>analyzed</w:t>
      </w:r>
      <w:proofErr w:type="spellEnd"/>
      <w:r>
        <w:rPr>
          <w:sz w:val="24"/>
          <w:szCs w:val="24"/>
        </w:rPr>
        <w:t xml:space="preserve"> </w:t>
      </w:r>
      <w:proofErr w:type="spellStart"/>
      <w:r>
        <w:rPr>
          <w:sz w:val="24"/>
          <w:szCs w:val="24"/>
        </w:rPr>
        <w:t>enrollment</w:t>
      </w:r>
      <w:proofErr w:type="spellEnd"/>
      <w:r>
        <w:rPr>
          <w:sz w:val="24"/>
          <w:szCs w:val="24"/>
        </w:rPr>
        <w:t xml:space="preserve">, retention, and completion rates at Cagayan State University, providing a Philippine-context data point on institutional retention comparable to the attendance- and performance-based indicators discussed in the foreign literature above. </w:t>
      </w:r>
    </w:p>
    <w:p w14:paraId="6F2CAAA1" w14:textId="77777777" w:rsidR="003D4DFA" w:rsidRDefault="00000000">
      <w:pPr>
        <w:spacing w:before="300" w:after="200"/>
        <w:jc w:val="center"/>
      </w:pPr>
      <w:r>
        <w:rPr>
          <w:b/>
          <w:bCs/>
          <w:sz w:val="24"/>
          <w:szCs w:val="24"/>
        </w:rPr>
        <w:t>Foreign Studies</w:t>
      </w:r>
    </w:p>
    <w:p w14:paraId="1F9ACADE" w14:textId="201849FB" w:rsidR="003D4DFA" w:rsidRDefault="00B9106D">
      <w:pPr>
        <w:spacing w:after="200" w:line="480" w:lineRule="auto"/>
        <w:jc w:val="both"/>
      </w:pPr>
      <w:r>
        <w:rPr>
          <w:sz w:val="24"/>
          <w:szCs w:val="24"/>
        </w:rPr>
        <w:tab/>
        <w:t xml:space="preserve">Foreign studies relevant to </w:t>
      </w:r>
      <w:r w:rsidR="00EB3D4A">
        <w:rPr>
          <w:sz w:val="24"/>
          <w:szCs w:val="24"/>
        </w:rPr>
        <w:t>AGORA</w:t>
      </w:r>
      <w:r>
        <w:rPr>
          <w:sz w:val="24"/>
          <w:szCs w:val="24"/>
        </w:rPr>
        <w:t xml:space="preserve"> </w:t>
      </w:r>
      <w:proofErr w:type="spellStart"/>
      <w:r>
        <w:rPr>
          <w:sz w:val="24"/>
          <w:szCs w:val="24"/>
        </w:rPr>
        <w:t>center</w:t>
      </w:r>
      <w:proofErr w:type="spellEnd"/>
      <w:r>
        <w:rPr>
          <w:sz w:val="24"/>
          <w:szCs w:val="24"/>
        </w:rPr>
        <w:t xml:space="preserve"> on the use of agentic and generative artificial intelligence to support instructional planning and content generation, a theme closely </w:t>
      </w:r>
      <w:r>
        <w:rPr>
          <w:sz w:val="24"/>
          <w:szCs w:val="24"/>
        </w:rPr>
        <w:lastRenderedPageBreak/>
        <w:t xml:space="preserve">tied to the intended function of the ACTS Agent Console and ACTS Notebook. Zhang et al. (2025) presented </w:t>
      </w:r>
      <w:proofErr w:type="spellStart"/>
      <w:r>
        <w:rPr>
          <w:sz w:val="24"/>
          <w:szCs w:val="24"/>
        </w:rPr>
        <w:t>EduPlanner</w:t>
      </w:r>
      <w:proofErr w:type="spellEnd"/>
      <w:r>
        <w:rPr>
          <w:sz w:val="24"/>
          <w:szCs w:val="24"/>
        </w:rPr>
        <w:t xml:space="preserve">, a large language model-based multi-agent system designed for customized and intelligent instructional design workflows. Yao et al. (2025) examined how multi-agent instructional design frameworks may help reduce the workload reported by teaching faculty. Bartolf et al. (2024) </w:t>
      </w:r>
      <w:proofErr w:type="spellStart"/>
      <w:r>
        <w:rPr>
          <w:sz w:val="24"/>
          <w:szCs w:val="24"/>
        </w:rPr>
        <w:t>analyzed</w:t>
      </w:r>
      <w:proofErr w:type="spellEnd"/>
      <w:r>
        <w:rPr>
          <w:sz w:val="24"/>
          <w:szCs w:val="24"/>
        </w:rPr>
        <w:t xml:space="preserve"> agentic workflows used to streamline and enhance modern course development processes, and Chen et al. (2026) proposed </w:t>
      </w:r>
      <w:proofErr w:type="spellStart"/>
      <w:r>
        <w:rPr>
          <w:sz w:val="24"/>
          <w:szCs w:val="24"/>
        </w:rPr>
        <w:t>AgentLesson</w:t>
      </w:r>
      <w:proofErr w:type="spellEnd"/>
      <w:r>
        <w:rPr>
          <w:sz w:val="24"/>
          <w:szCs w:val="24"/>
        </w:rPr>
        <w:t xml:space="preserve">, a multi-agent system built on large language models specifically for generating educational lesson plans. Li and Zheng (2026) conducted a scoping review synthesizing existing literature on the implementation and impact of large language model-based pedagogical agents in education. Chan and Tanyag (2024) proposed a model for balanced institutional guidelines to support the integration of generative AI into university teaching and learning. Taken together, these studies indicate that a multi-agent or task-oriented approach to AI-assisted instructional content generation is an active research direction internationally, lending support to the general design direction of ACTS Notebook as an AI-assisted instructional planning component, while the underlying multi-agent architectures described in some of these studies remain a distinct research direction from </w:t>
      </w:r>
      <w:r w:rsidR="00EB3D4A">
        <w:rPr>
          <w:sz w:val="24"/>
          <w:szCs w:val="24"/>
        </w:rPr>
        <w:t>AGORA</w:t>
      </w:r>
      <w:r>
        <w:rPr>
          <w:sz w:val="24"/>
          <w:szCs w:val="24"/>
        </w:rPr>
        <w:t xml:space="preserve">'s current, more limited technical scope and should not be read as confirming that </w:t>
      </w:r>
      <w:r w:rsidR="00EB3D4A">
        <w:rPr>
          <w:sz w:val="24"/>
          <w:szCs w:val="24"/>
        </w:rPr>
        <w:t>AGORA</w:t>
      </w:r>
      <w:r>
        <w:rPr>
          <w:sz w:val="24"/>
          <w:szCs w:val="24"/>
        </w:rPr>
        <w:t xml:space="preserve"> itself uses a multi-agent architecture.</w:t>
      </w:r>
    </w:p>
    <w:p w14:paraId="10655B2D" w14:textId="77777777" w:rsidR="003D4DFA" w:rsidRDefault="00000000">
      <w:pPr>
        <w:spacing w:before="300" w:after="200"/>
        <w:jc w:val="center"/>
      </w:pPr>
      <w:r>
        <w:rPr>
          <w:b/>
          <w:bCs/>
          <w:sz w:val="24"/>
          <w:szCs w:val="24"/>
        </w:rPr>
        <w:t>Local Studies</w:t>
      </w:r>
    </w:p>
    <w:p w14:paraId="1B678D7D" w14:textId="553E3255" w:rsidR="003D4DFA" w:rsidRDefault="00B9106D">
      <w:pPr>
        <w:spacing w:after="200" w:line="480" w:lineRule="auto"/>
        <w:jc w:val="both"/>
      </w:pPr>
      <w:r>
        <w:rPr>
          <w:sz w:val="24"/>
          <w:szCs w:val="24"/>
        </w:rPr>
        <w:tab/>
      </w:r>
      <w:r w:rsidR="00592BD2" w:rsidRPr="00592BD2">
        <w:rPr>
          <w:sz w:val="24"/>
          <w:szCs w:val="24"/>
        </w:rPr>
        <w:t xml:space="preserve">Local studies provide more direct precedent for specific components of </w:t>
      </w:r>
      <w:r w:rsidR="00EB3D4A">
        <w:rPr>
          <w:sz w:val="24"/>
          <w:szCs w:val="24"/>
        </w:rPr>
        <w:t>AGORA</w:t>
      </w:r>
      <w:r w:rsidR="00592BD2" w:rsidRPr="00592BD2">
        <w:rPr>
          <w:sz w:val="24"/>
          <w:szCs w:val="24"/>
        </w:rPr>
        <w:t xml:space="preserve">. Lacea and </w:t>
      </w:r>
      <w:proofErr w:type="spellStart"/>
      <w:r w:rsidR="00592BD2" w:rsidRPr="00592BD2">
        <w:rPr>
          <w:sz w:val="24"/>
          <w:szCs w:val="24"/>
        </w:rPr>
        <w:t>Palaoag</w:t>
      </w:r>
      <w:proofErr w:type="spellEnd"/>
      <w:r w:rsidR="00592BD2" w:rsidRPr="00592BD2">
        <w:rPr>
          <w:sz w:val="24"/>
          <w:szCs w:val="24"/>
        </w:rPr>
        <w:t xml:space="preserve"> (2025) developed an automated multiple-choice test checking system for a Philippine higher education setting and found that a rectified-answer detection algorithm helped compensate for OCR misinterpretation of marked responses, correcting misread characters by mapping them to the intended answer choice. This finding is relevant to the </w:t>
      </w:r>
      <w:r w:rsidR="00592BD2" w:rsidRPr="00592BD2">
        <w:rPr>
          <w:sz w:val="24"/>
          <w:szCs w:val="24"/>
        </w:rPr>
        <w:lastRenderedPageBreak/>
        <w:t xml:space="preserve">design of </w:t>
      </w:r>
      <w:r w:rsidR="00EB3D4A">
        <w:rPr>
          <w:sz w:val="24"/>
          <w:szCs w:val="24"/>
        </w:rPr>
        <w:t>AGORA</w:t>
      </w:r>
      <w:r w:rsidR="00592BD2" w:rsidRPr="00592BD2">
        <w:rPr>
          <w:sz w:val="24"/>
          <w:szCs w:val="24"/>
        </w:rPr>
        <w:t>'s automated checking of objective questions, which will likewise need to account for OCR misinterpretation when detecting a student's marked response.</w:t>
      </w:r>
      <w:r w:rsidR="00592BD2">
        <w:rPr>
          <w:sz w:val="24"/>
          <w:szCs w:val="24"/>
        </w:rPr>
        <w:t xml:space="preserve"> </w:t>
      </w:r>
      <w:r>
        <w:rPr>
          <w:sz w:val="24"/>
          <w:szCs w:val="24"/>
        </w:rPr>
        <w:t xml:space="preserve">Beyond assessment checking, several Philippine studies have examined the broader adoption of generative and agentic AI in education. The Philippine Institute for Development Studies (2024) examined generative AI's impact on Philippine higher education curricula and outlined policy recommendations for its integration, while Ordonez et al. (2024) explored how senior high school students' perceptions of large language models were related to their critical thinking and self-efficacy. The UP National Engineering </w:t>
      </w:r>
      <w:proofErr w:type="spellStart"/>
      <w:r>
        <w:rPr>
          <w:sz w:val="24"/>
          <w:szCs w:val="24"/>
        </w:rPr>
        <w:t>Center</w:t>
      </w:r>
      <w:proofErr w:type="spellEnd"/>
      <w:r>
        <w:rPr>
          <w:sz w:val="24"/>
          <w:szCs w:val="24"/>
        </w:rPr>
        <w:t xml:space="preserve"> Professional Engineering Training Division (2026) has also developed a professional training curriculum addressing agentic artificial intelligence and large language models, including multi-agent workflows and tool-using agents; this curriculum reflects a growing institutional interest, within the Philippines, in agentic AI approaches for education-related and other applications. These local studies establish that both OCR-based assessment checking and generative or agentic AI adoption are active areas of interest within Philippine education, though, consistent with the observation made under Local Literature, local studies that combine these areas within a single integrated system remain limited.</w:t>
      </w:r>
    </w:p>
    <w:p w14:paraId="4D1D6110" w14:textId="77715E86" w:rsidR="003D4DFA" w:rsidRDefault="00000000">
      <w:pPr>
        <w:spacing w:after="200" w:line="480" w:lineRule="auto"/>
        <w:jc w:val="both"/>
      </w:pPr>
      <w:r>
        <w:rPr>
          <w:sz w:val="24"/>
          <w:szCs w:val="24"/>
        </w:rPr>
        <w:t xml:space="preserve"> </w:t>
      </w:r>
    </w:p>
    <w:p w14:paraId="7B218A23" w14:textId="77777777" w:rsidR="003D4DFA" w:rsidRDefault="003D4DFA">
      <w:pPr>
        <w:pageBreakBefore/>
      </w:pPr>
    </w:p>
    <w:p w14:paraId="50BD4D0F" w14:textId="77777777" w:rsidR="003D4DFA" w:rsidRDefault="00000000">
      <w:pPr>
        <w:spacing w:before="240" w:after="240"/>
        <w:jc w:val="center"/>
      </w:pPr>
      <w:r>
        <w:rPr>
          <w:b/>
          <w:bCs/>
          <w:sz w:val="24"/>
          <w:szCs w:val="24"/>
        </w:rPr>
        <w:t>References</w:t>
      </w:r>
    </w:p>
    <w:p w14:paraId="09422B78" w14:textId="77777777" w:rsidR="003D4DFA" w:rsidRDefault="00000000">
      <w:pPr>
        <w:spacing w:after="200" w:line="480" w:lineRule="auto"/>
        <w:ind w:left="720" w:hanging="720"/>
        <w:jc w:val="both"/>
      </w:pPr>
      <w:r>
        <w:rPr>
          <w:sz w:val="24"/>
          <w:szCs w:val="24"/>
        </w:rPr>
        <w:t xml:space="preserve">Bartolf, D., Kahl, S., Woo, J., &amp; Reeves, T. (2024). Travaux </w:t>
      </w:r>
      <w:proofErr w:type="spellStart"/>
      <w:r>
        <w:rPr>
          <w:sz w:val="24"/>
          <w:szCs w:val="24"/>
        </w:rPr>
        <w:t>agencés</w:t>
      </w:r>
      <w:proofErr w:type="spellEnd"/>
      <w:r>
        <w:rPr>
          <w:sz w:val="24"/>
          <w:szCs w:val="24"/>
        </w:rPr>
        <w:t xml:space="preserve"> pour </w:t>
      </w:r>
      <w:proofErr w:type="spellStart"/>
      <w:r>
        <w:rPr>
          <w:sz w:val="24"/>
          <w:szCs w:val="24"/>
        </w:rPr>
        <w:t>améliorer</w:t>
      </w:r>
      <w:proofErr w:type="spellEnd"/>
      <w:r>
        <w:rPr>
          <w:sz w:val="24"/>
          <w:szCs w:val="24"/>
        </w:rPr>
        <w:t xml:space="preserve"> le </w:t>
      </w:r>
      <w:proofErr w:type="spellStart"/>
      <w:r>
        <w:rPr>
          <w:sz w:val="24"/>
          <w:szCs w:val="24"/>
        </w:rPr>
        <w:t>développement</w:t>
      </w:r>
      <w:proofErr w:type="spellEnd"/>
      <w:r>
        <w:rPr>
          <w:sz w:val="24"/>
          <w:szCs w:val="24"/>
        </w:rPr>
        <w:t xml:space="preserve"> de </w:t>
      </w:r>
      <w:proofErr w:type="spellStart"/>
      <w:r>
        <w:rPr>
          <w:sz w:val="24"/>
          <w:szCs w:val="24"/>
        </w:rPr>
        <w:t>cours</w:t>
      </w:r>
      <w:proofErr w:type="spellEnd"/>
      <w:r>
        <w:rPr>
          <w:sz w:val="24"/>
          <w:szCs w:val="24"/>
        </w:rPr>
        <w:t xml:space="preserve"> [Agentic workflows to improve course development]. Journal of Applied Instructional Design, 14(3). https://edtechbooks.org/jaid_14_3/pkvbrlqcgn</w:t>
      </w:r>
    </w:p>
    <w:p w14:paraId="4A8A471A" w14:textId="77777777" w:rsidR="003D4DFA" w:rsidRDefault="00000000">
      <w:pPr>
        <w:spacing w:after="200" w:line="480" w:lineRule="auto"/>
        <w:ind w:left="720" w:hanging="720"/>
        <w:jc w:val="both"/>
      </w:pPr>
      <w:r>
        <w:rPr>
          <w:sz w:val="24"/>
          <w:szCs w:val="24"/>
        </w:rPr>
        <w:t xml:space="preserve">Bravo, E. D. (2023). From data to insights: An analysis of </w:t>
      </w:r>
      <w:proofErr w:type="spellStart"/>
      <w:r>
        <w:rPr>
          <w:sz w:val="24"/>
          <w:szCs w:val="24"/>
        </w:rPr>
        <w:t>enrollment</w:t>
      </w:r>
      <w:proofErr w:type="spellEnd"/>
      <w:r>
        <w:rPr>
          <w:sz w:val="24"/>
          <w:szCs w:val="24"/>
        </w:rPr>
        <w:t>, retention and completion rates at the Cagayan State University. International Journal of Learning and Development, 13(2), 49–58. https://ideas.repec.org/a/mth/ijld88/v13y2023i2p49-58.html</w:t>
      </w:r>
    </w:p>
    <w:p w14:paraId="35D6863D" w14:textId="77777777" w:rsidR="003D4DFA" w:rsidRDefault="00000000">
      <w:pPr>
        <w:spacing w:after="200" w:line="480" w:lineRule="auto"/>
        <w:ind w:left="720" w:hanging="720"/>
        <w:jc w:val="both"/>
      </w:pPr>
      <w:r>
        <w:rPr>
          <w:sz w:val="24"/>
          <w:szCs w:val="24"/>
        </w:rPr>
        <w:t>Cardona, T., Cudney, E. A., Hoerl, R., &amp; Snyder, J. (2023). Data mining and machine learning retention models in higher education: A systematic review. Journal of College Student Retention: Research, Theory &amp; Practice, 25(1), 51–75. https://doi.org/10.1177/1521025120964920</w:t>
      </w:r>
    </w:p>
    <w:p w14:paraId="01E8AB2E" w14:textId="77777777" w:rsidR="003D4DFA" w:rsidRDefault="00000000">
      <w:pPr>
        <w:spacing w:after="200" w:line="480" w:lineRule="auto"/>
        <w:ind w:left="720" w:hanging="720"/>
        <w:jc w:val="both"/>
      </w:pPr>
      <w:r>
        <w:rPr>
          <w:sz w:val="24"/>
          <w:szCs w:val="24"/>
        </w:rPr>
        <w:t>Chan, C. K. Y., &amp; Tanyag, M. A. V. (2024). Integrating generative AI in university teaching and learning: A model for balanced guidelines. Online Learning, 28(3), 1–24. https://olj.onlinelearningconsortium.org/index.php/olj/article/view/4508</w:t>
      </w:r>
    </w:p>
    <w:p w14:paraId="55FBAF18" w14:textId="77777777" w:rsidR="003D4DFA" w:rsidRDefault="00000000">
      <w:pPr>
        <w:spacing w:after="200" w:line="480" w:lineRule="auto"/>
        <w:ind w:left="720" w:hanging="720"/>
        <w:jc w:val="both"/>
      </w:pPr>
      <w:r>
        <w:rPr>
          <w:sz w:val="24"/>
          <w:szCs w:val="24"/>
        </w:rPr>
        <w:t xml:space="preserve">Chen, Y., Yang, Y., &amp; Xu, G. (2026). </w:t>
      </w:r>
      <w:proofErr w:type="spellStart"/>
      <w:r>
        <w:rPr>
          <w:sz w:val="24"/>
          <w:szCs w:val="24"/>
        </w:rPr>
        <w:t>AgentLesson</w:t>
      </w:r>
      <w:proofErr w:type="spellEnd"/>
      <w:r>
        <w:rPr>
          <w:sz w:val="24"/>
          <w:szCs w:val="24"/>
        </w:rPr>
        <w:t>: LLM-based multi-agent system for educational lesson plan generation. In Proceedings of the International Conference on Artificial Intelligence in Education (AIED 2025). Springer. https://link.springer.com/chapter/10.1007/978-981-95-7138-3_11</w:t>
      </w:r>
    </w:p>
    <w:p w14:paraId="33790C14" w14:textId="77777777" w:rsidR="003D4DFA" w:rsidRDefault="00000000">
      <w:pPr>
        <w:spacing w:after="200" w:line="480" w:lineRule="auto"/>
        <w:ind w:left="720" w:hanging="720"/>
        <w:jc w:val="both"/>
      </w:pPr>
      <w:r>
        <w:rPr>
          <w:sz w:val="24"/>
          <w:szCs w:val="24"/>
        </w:rPr>
        <w:t>Gonzalez-Nucamendi, A., Noguez, J., Neri, L., Robledo-Rella, V., &amp; García-</w:t>
      </w:r>
      <w:proofErr w:type="spellStart"/>
      <w:r>
        <w:rPr>
          <w:sz w:val="24"/>
          <w:szCs w:val="24"/>
        </w:rPr>
        <w:t>Castelán</w:t>
      </w:r>
      <w:proofErr w:type="spellEnd"/>
      <w:r>
        <w:rPr>
          <w:sz w:val="24"/>
          <w:szCs w:val="24"/>
        </w:rPr>
        <w:t xml:space="preserve">, R. M. G. (2023). Predictive analytics study to determine undergraduate students at risk of </w:t>
      </w:r>
      <w:r>
        <w:rPr>
          <w:sz w:val="24"/>
          <w:szCs w:val="24"/>
        </w:rPr>
        <w:lastRenderedPageBreak/>
        <w:t>dropout. Frontiers in Education, 8, Article 1244686. https://doi.org/10.3389/feduc.2023.1244686</w:t>
      </w:r>
    </w:p>
    <w:p w14:paraId="45D13C5F" w14:textId="77777777" w:rsidR="003D4DFA" w:rsidRDefault="00000000">
      <w:pPr>
        <w:spacing w:after="200" w:line="480" w:lineRule="auto"/>
        <w:ind w:left="720" w:hanging="720"/>
        <w:jc w:val="both"/>
      </w:pPr>
      <w:r>
        <w:rPr>
          <w:sz w:val="24"/>
          <w:szCs w:val="24"/>
        </w:rPr>
        <w:t>Hegde, D. (2024). Survey on automated answer sheet evaluation and grading system. International Journal of Novel Research and Development, 9(6). https://www.ijnrd.org/papers/IJNRD2406145.pdf</w:t>
      </w:r>
    </w:p>
    <w:p w14:paraId="0705F1F1" w14:textId="77777777" w:rsidR="003D4DFA" w:rsidRDefault="00000000">
      <w:pPr>
        <w:spacing w:after="200" w:line="480" w:lineRule="auto"/>
        <w:ind w:left="720" w:hanging="720"/>
        <w:jc w:val="both"/>
      </w:pPr>
      <w:r>
        <w:rPr>
          <w:sz w:val="24"/>
          <w:szCs w:val="24"/>
        </w:rPr>
        <w:t xml:space="preserve">Jayaprakash, S. M., &amp; Mahoney, P. (2021). </w:t>
      </w:r>
      <w:proofErr w:type="spellStart"/>
      <w:r>
        <w:rPr>
          <w:sz w:val="24"/>
          <w:szCs w:val="24"/>
        </w:rPr>
        <w:t>Microeconometric</w:t>
      </w:r>
      <w:proofErr w:type="spellEnd"/>
      <w:r>
        <w:rPr>
          <w:sz w:val="24"/>
          <w:szCs w:val="24"/>
        </w:rPr>
        <w:t xml:space="preserve"> approaches in exploring the relationships between early alert systems and student retention: A case study of a regionally based university in Australia. Journal of Learning Analytics, 8(3), 170–186. https://doi.org/10.18608/jla.2021.7087</w:t>
      </w:r>
    </w:p>
    <w:p w14:paraId="0A1F4D79" w14:textId="77777777" w:rsidR="003D4DFA" w:rsidRDefault="00000000">
      <w:pPr>
        <w:spacing w:after="200" w:line="480" w:lineRule="auto"/>
        <w:ind w:left="720" w:hanging="720"/>
        <w:jc w:val="both"/>
      </w:pPr>
      <w:proofErr w:type="spellStart"/>
      <w:r>
        <w:rPr>
          <w:sz w:val="24"/>
          <w:szCs w:val="24"/>
        </w:rPr>
        <w:t>Kaliisa</w:t>
      </w:r>
      <w:proofErr w:type="spellEnd"/>
      <w:r>
        <w:rPr>
          <w:sz w:val="24"/>
          <w:szCs w:val="24"/>
        </w:rPr>
        <w:t xml:space="preserve">, R., Miller, K., &amp; Clow, D. (2024). Learning analytics dashboards for advisors: A systematic literature review (arXiv:2402.01671). </w:t>
      </w:r>
      <w:proofErr w:type="spellStart"/>
      <w:r>
        <w:rPr>
          <w:sz w:val="24"/>
          <w:szCs w:val="24"/>
        </w:rPr>
        <w:t>arXiv</w:t>
      </w:r>
      <w:proofErr w:type="spellEnd"/>
      <w:r>
        <w:rPr>
          <w:sz w:val="24"/>
          <w:szCs w:val="24"/>
        </w:rPr>
        <w:t>. https://arxiv.org/abs/2402.01671</w:t>
      </w:r>
    </w:p>
    <w:p w14:paraId="6DEBC0CB" w14:textId="77777777" w:rsidR="003D4DFA" w:rsidRDefault="00000000">
      <w:pPr>
        <w:spacing w:after="200" w:line="480" w:lineRule="auto"/>
        <w:ind w:left="720" w:hanging="720"/>
        <w:jc w:val="both"/>
      </w:pPr>
      <w:r>
        <w:rPr>
          <w:sz w:val="24"/>
          <w:szCs w:val="24"/>
        </w:rPr>
        <w:t xml:space="preserve">Khan, N., Ab Rahman, A. A.-H., Masud Rizvi, S., Yousef Alshareef, I., </w:t>
      </w:r>
      <w:proofErr w:type="spellStart"/>
      <w:r>
        <w:rPr>
          <w:sz w:val="24"/>
          <w:szCs w:val="24"/>
        </w:rPr>
        <w:t>Nadzir</w:t>
      </w:r>
      <w:proofErr w:type="spellEnd"/>
      <w:r>
        <w:rPr>
          <w:sz w:val="24"/>
          <w:szCs w:val="24"/>
        </w:rPr>
        <w:t xml:space="preserve"> Marsono, M., Paend Bakht, M., </w:t>
      </w:r>
      <w:proofErr w:type="spellStart"/>
      <w:r>
        <w:rPr>
          <w:sz w:val="24"/>
          <w:szCs w:val="24"/>
        </w:rPr>
        <w:t>Shahrizal</w:t>
      </w:r>
      <w:proofErr w:type="spellEnd"/>
      <w:r>
        <w:rPr>
          <w:sz w:val="24"/>
          <w:szCs w:val="24"/>
        </w:rPr>
        <w:t xml:space="preserve"> Rusli, M., &amp; Sadiah, S. (2025). Systematic literature review of machine learning models and applications for text recognition. IEEE Access, 13, 177647–177670. https://doi.org/10.1109/ACCESS.2025.3618109</w:t>
      </w:r>
    </w:p>
    <w:p w14:paraId="08502189" w14:textId="77777777" w:rsidR="003D4DFA" w:rsidRDefault="00000000">
      <w:pPr>
        <w:spacing w:after="200" w:line="480" w:lineRule="auto"/>
        <w:ind w:left="720" w:hanging="720"/>
        <w:jc w:val="both"/>
      </w:pPr>
      <w:r>
        <w:rPr>
          <w:sz w:val="24"/>
          <w:szCs w:val="24"/>
        </w:rPr>
        <w:t xml:space="preserve">Lacea, J. B., &amp; </w:t>
      </w:r>
      <w:proofErr w:type="spellStart"/>
      <w:r>
        <w:rPr>
          <w:sz w:val="24"/>
          <w:szCs w:val="24"/>
        </w:rPr>
        <w:t>Palaoag</w:t>
      </w:r>
      <w:proofErr w:type="spellEnd"/>
      <w:r>
        <w:rPr>
          <w:sz w:val="24"/>
          <w:szCs w:val="24"/>
        </w:rPr>
        <w:t>, T. D. (2025). Automated multiple-choice test checking system. Journal of Information Systems Engineering and Management, 10(27s). https://www.jisem-journal.com/index.php/journal/article/view/4427</w:t>
      </w:r>
    </w:p>
    <w:p w14:paraId="05234CEE" w14:textId="77777777" w:rsidR="003D4DFA" w:rsidRDefault="00000000">
      <w:pPr>
        <w:spacing w:after="200" w:line="480" w:lineRule="auto"/>
        <w:ind w:left="720" w:hanging="720"/>
        <w:jc w:val="both"/>
      </w:pPr>
      <w:r>
        <w:rPr>
          <w:sz w:val="24"/>
          <w:szCs w:val="24"/>
        </w:rPr>
        <w:lastRenderedPageBreak/>
        <w:t>Li, X., &amp; Zheng, Y. (2026). A scoping review of large language model-based pedagogical agents in education. Computers and Education: Artificial Intelligence, 10, Article 100432. https://doi.org/10.1016/j.caeai.2026.100432</w:t>
      </w:r>
    </w:p>
    <w:p w14:paraId="364AF6DE" w14:textId="77777777" w:rsidR="003D4DFA" w:rsidRDefault="00000000">
      <w:pPr>
        <w:spacing w:after="200" w:line="480" w:lineRule="auto"/>
        <w:ind w:left="720" w:hanging="720"/>
        <w:jc w:val="both"/>
      </w:pPr>
      <w:proofErr w:type="spellStart"/>
      <w:r>
        <w:rPr>
          <w:sz w:val="24"/>
          <w:szCs w:val="24"/>
        </w:rPr>
        <w:t>Masula</w:t>
      </w:r>
      <w:proofErr w:type="spellEnd"/>
      <w:r>
        <w:rPr>
          <w:sz w:val="24"/>
          <w:szCs w:val="24"/>
        </w:rPr>
        <w:t xml:space="preserve">, J. Z., Arsenio, C. J., Flores, N. J., </w:t>
      </w:r>
      <w:proofErr w:type="spellStart"/>
      <w:r>
        <w:rPr>
          <w:sz w:val="24"/>
          <w:szCs w:val="24"/>
        </w:rPr>
        <w:t>Nacasabug</w:t>
      </w:r>
      <w:proofErr w:type="spellEnd"/>
      <w:r>
        <w:rPr>
          <w:sz w:val="24"/>
          <w:szCs w:val="24"/>
        </w:rPr>
        <w:t xml:space="preserve">, E. Z., </w:t>
      </w:r>
      <w:proofErr w:type="spellStart"/>
      <w:r>
        <w:rPr>
          <w:sz w:val="24"/>
          <w:szCs w:val="24"/>
        </w:rPr>
        <w:t>Tamboong</w:t>
      </w:r>
      <w:proofErr w:type="spellEnd"/>
      <w:r>
        <w:rPr>
          <w:sz w:val="24"/>
          <w:szCs w:val="24"/>
        </w:rPr>
        <w:t>, M. L., &amp; Geralde, K. N. (2024). Development of an offline Android-based test paper checker application for Northwestern Visayan Colleges. Journal of Innovative Technology Convergence, 6(3). https://doi.org/10.69478/JITC2024v6n3a04</w:t>
      </w:r>
    </w:p>
    <w:p w14:paraId="74ED6329" w14:textId="77777777" w:rsidR="003D4DFA" w:rsidRDefault="00000000">
      <w:pPr>
        <w:spacing w:after="200" w:line="480" w:lineRule="auto"/>
        <w:ind w:left="720" w:hanging="720"/>
        <w:jc w:val="both"/>
      </w:pPr>
      <w:r>
        <w:rPr>
          <w:sz w:val="24"/>
          <w:szCs w:val="24"/>
        </w:rPr>
        <w:t>Mishra, S., &amp; Kumar, R. (2026). An intelligent system for automated answer sheet evaluation using artificial intelligence. International Journal of Computer Technology. https://ijctjournal.org/intelligent-automated-answer-sheet-evaluation/</w:t>
      </w:r>
    </w:p>
    <w:p w14:paraId="520204CB" w14:textId="77777777" w:rsidR="003D4DFA" w:rsidRDefault="00000000">
      <w:pPr>
        <w:spacing w:after="200" w:line="480" w:lineRule="auto"/>
        <w:ind w:left="720" w:hanging="720"/>
        <w:jc w:val="both"/>
      </w:pPr>
      <w:r>
        <w:rPr>
          <w:sz w:val="24"/>
          <w:szCs w:val="24"/>
        </w:rPr>
        <w:t xml:space="preserve">Ordonez, J. R., </w:t>
      </w:r>
      <w:proofErr w:type="spellStart"/>
      <w:r>
        <w:rPr>
          <w:sz w:val="24"/>
          <w:szCs w:val="24"/>
        </w:rPr>
        <w:t>Sadiasa</w:t>
      </w:r>
      <w:proofErr w:type="spellEnd"/>
      <w:r>
        <w:rPr>
          <w:sz w:val="24"/>
          <w:szCs w:val="24"/>
        </w:rPr>
        <w:t xml:space="preserve">, J. S., &amp; </w:t>
      </w:r>
      <w:proofErr w:type="spellStart"/>
      <w:r>
        <w:rPr>
          <w:sz w:val="24"/>
          <w:szCs w:val="24"/>
        </w:rPr>
        <w:t>Soriaso</w:t>
      </w:r>
      <w:proofErr w:type="spellEnd"/>
      <w:r>
        <w:rPr>
          <w:sz w:val="24"/>
          <w:szCs w:val="24"/>
        </w:rPr>
        <w:t xml:space="preserve">, B. F. (2024). The rise of an AI in education: Exploring the impact of perception of large language models in the critical thinking and self-efficacy of health-allied senior high school students [Research output, De La Salle Medical and Health Sciences Institute]. </w:t>
      </w:r>
      <w:proofErr w:type="spellStart"/>
      <w:r>
        <w:rPr>
          <w:sz w:val="24"/>
          <w:szCs w:val="24"/>
        </w:rPr>
        <w:t>GreenPrints</w:t>
      </w:r>
      <w:proofErr w:type="spellEnd"/>
      <w:r>
        <w:rPr>
          <w:sz w:val="24"/>
          <w:szCs w:val="24"/>
        </w:rPr>
        <w:t>. https://greenprints.dlshsi.edu.ph/grade_12/649</w:t>
      </w:r>
    </w:p>
    <w:p w14:paraId="327EC4FA" w14:textId="77777777" w:rsidR="003D4DFA" w:rsidRDefault="00000000">
      <w:pPr>
        <w:spacing w:after="200" w:line="480" w:lineRule="auto"/>
        <w:ind w:left="720" w:hanging="720"/>
        <w:jc w:val="both"/>
      </w:pPr>
      <w:r>
        <w:rPr>
          <w:sz w:val="24"/>
          <w:szCs w:val="24"/>
        </w:rPr>
        <w:t xml:space="preserve">Philippine Institute for Development Studies. (2024). Navigating the generative artificial intelligence era: Charting the course for curricular reform in higher education in the Philippines (CIDS-MS-24-006). UP National </w:t>
      </w:r>
      <w:proofErr w:type="spellStart"/>
      <w:r>
        <w:rPr>
          <w:sz w:val="24"/>
          <w:szCs w:val="24"/>
        </w:rPr>
        <w:t>Center</w:t>
      </w:r>
      <w:proofErr w:type="spellEnd"/>
      <w:r>
        <w:rPr>
          <w:sz w:val="24"/>
          <w:szCs w:val="24"/>
        </w:rPr>
        <w:t xml:space="preserve"> for Integrative Development Studies. https://serp-p.pids.gov.ph/publication/public/view?slug=navigating-the-generative-artificial-intelligence-era-charting-the-course-for-curricular-reform-in</w:t>
      </w:r>
    </w:p>
    <w:p w14:paraId="44576D82" w14:textId="77777777" w:rsidR="003D4DFA" w:rsidRDefault="00000000">
      <w:pPr>
        <w:spacing w:after="200" w:line="480" w:lineRule="auto"/>
        <w:ind w:left="720" w:hanging="720"/>
        <w:jc w:val="both"/>
      </w:pPr>
      <w:proofErr w:type="spellStart"/>
      <w:r>
        <w:rPr>
          <w:sz w:val="24"/>
          <w:szCs w:val="24"/>
        </w:rPr>
        <w:lastRenderedPageBreak/>
        <w:t>Rawther</w:t>
      </w:r>
      <w:proofErr w:type="spellEnd"/>
      <w:r>
        <w:rPr>
          <w:sz w:val="24"/>
          <w:szCs w:val="24"/>
        </w:rPr>
        <w:t xml:space="preserve">, F. A., </w:t>
      </w:r>
      <w:proofErr w:type="spellStart"/>
      <w:r>
        <w:rPr>
          <w:sz w:val="24"/>
          <w:szCs w:val="24"/>
        </w:rPr>
        <w:t>Rasaldeen</w:t>
      </w:r>
      <w:proofErr w:type="spellEnd"/>
      <w:r>
        <w:rPr>
          <w:sz w:val="24"/>
          <w:szCs w:val="24"/>
        </w:rPr>
        <w:t>, R., Fernandez, S. M., Jaison, I. R., &amp; Mathews, R. M. (2025). A survey on automating answer-sheet evaluation using AI techniques. International Journal on Emerging Research Areas. https://ijera.in/index.php/IJERA/article/view/51</w:t>
      </w:r>
    </w:p>
    <w:p w14:paraId="6910E107" w14:textId="77777777" w:rsidR="003D4DFA" w:rsidRDefault="00000000">
      <w:pPr>
        <w:spacing w:after="200" w:line="480" w:lineRule="auto"/>
        <w:ind w:left="720" w:hanging="720"/>
        <w:jc w:val="both"/>
      </w:pPr>
      <w:r>
        <w:rPr>
          <w:sz w:val="24"/>
          <w:szCs w:val="24"/>
        </w:rPr>
        <w:t xml:space="preserve">Rodríguez, M. E., </w:t>
      </w:r>
      <w:proofErr w:type="spellStart"/>
      <w:r>
        <w:rPr>
          <w:sz w:val="24"/>
          <w:szCs w:val="24"/>
        </w:rPr>
        <w:t>Baneres</w:t>
      </w:r>
      <w:proofErr w:type="spellEnd"/>
      <w:r>
        <w:rPr>
          <w:sz w:val="24"/>
          <w:szCs w:val="24"/>
        </w:rPr>
        <w:t>, D., Guerrero-Roldán, A. E., &amp; Karami, M. (2023). An early warning system to identify and intervene online dropout learners. International Journal of Educational Technology in Higher Education, 20, Article 3. https://doi.org/10.1186/s41239-022-00371-5</w:t>
      </w:r>
    </w:p>
    <w:p w14:paraId="4795AA5A" w14:textId="77777777" w:rsidR="003D4DFA" w:rsidRDefault="00000000">
      <w:pPr>
        <w:spacing w:after="200" w:line="480" w:lineRule="auto"/>
        <w:ind w:left="720" w:hanging="720"/>
        <w:jc w:val="both"/>
      </w:pPr>
      <w:proofErr w:type="spellStart"/>
      <w:r>
        <w:rPr>
          <w:sz w:val="24"/>
          <w:szCs w:val="24"/>
        </w:rPr>
        <w:t>Soppari</w:t>
      </w:r>
      <w:proofErr w:type="spellEnd"/>
      <w:r>
        <w:rPr>
          <w:sz w:val="24"/>
          <w:szCs w:val="24"/>
        </w:rPr>
        <w:t>, K., Abhilaasha, K., Akanksha, K., &amp; Navya, P. (2025). A survey on automated grading of handwritten examination answer scripts using machine learning and natural language processing. World Journal of Advanced Research and Reviews, 27(1), 382–386. https://doi.org/10.30574/wjarr.2025.27.1.2505</w:t>
      </w:r>
    </w:p>
    <w:p w14:paraId="53B50C3F" w14:textId="77777777" w:rsidR="003D4DFA" w:rsidRDefault="00000000">
      <w:pPr>
        <w:spacing w:after="200" w:line="480" w:lineRule="auto"/>
        <w:ind w:left="720" w:hanging="720"/>
        <w:jc w:val="both"/>
      </w:pPr>
      <w:r>
        <w:rPr>
          <w:sz w:val="24"/>
          <w:szCs w:val="24"/>
        </w:rPr>
        <w:t xml:space="preserve">UP National Engineering </w:t>
      </w:r>
      <w:proofErr w:type="spellStart"/>
      <w:r>
        <w:rPr>
          <w:sz w:val="24"/>
          <w:szCs w:val="24"/>
        </w:rPr>
        <w:t>Center</w:t>
      </w:r>
      <w:proofErr w:type="spellEnd"/>
      <w:r>
        <w:rPr>
          <w:sz w:val="24"/>
          <w:szCs w:val="24"/>
        </w:rPr>
        <w:t xml:space="preserve"> Professional Engineering Training Division. (2026). Module I: Agentic artificial intelligence (AI) and large language models (LLMs) [Training course curriculum]. UP National Engineering </w:t>
      </w:r>
      <w:proofErr w:type="spellStart"/>
      <w:r>
        <w:rPr>
          <w:sz w:val="24"/>
          <w:szCs w:val="24"/>
        </w:rPr>
        <w:t>Center</w:t>
      </w:r>
      <w:proofErr w:type="spellEnd"/>
      <w:r>
        <w:rPr>
          <w:sz w:val="24"/>
          <w:szCs w:val="24"/>
        </w:rPr>
        <w:t>. https://www.linkedin.com/posts/up-national-engineering-center_upnec-upnectraining-upnecpetd-activity-7492852191045705728-Ftkg</w:t>
      </w:r>
    </w:p>
    <w:p w14:paraId="63A3A6A6" w14:textId="77777777" w:rsidR="003D4DFA" w:rsidRDefault="00000000">
      <w:pPr>
        <w:spacing w:after="200" w:line="480" w:lineRule="auto"/>
        <w:ind w:left="720" w:hanging="720"/>
        <w:jc w:val="both"/>
      </w:pPr>
      <w:r>
        <w:rPr>
          <w:sz w:val="24"/>
          <w:szCs w:val="24"/>
        </w:rPr>
        <w:t xml:space="preserve">Yao, H., Xu, W., </w:t>
      </w:r>
      <w:proofErr w:type="spellStart"/>
      <w:r>
        <w:rPr>
          <w:sz w:val="24"/>
          <w:szCs w:val="24"/>
        </w:rPr>
        <w:t>Turnau</w:t>
      </w:r>
      <w:proofErr w:type="spellEnd"/>
      <w:r>
        <w:rPr>
          <w:sz w:val="24"/>
          <w:szCs w:val="24"/>
        </w:rPr>
        <w:t xml:space="preserve">, J., Kellam, N., &amp; Wei, H. (2025). Instructional agents: Reducing teaching faculty workload through multi-agent instructional design (arXiv:2508.19611). </w:t>
      </w:r>
      <w:proofErr w:type="spellStart"/>
      <w:r>
        <w:rPr>
          <w:sz w:val="24"/>
          <w:szCs w:val="24"/>
        </w:rPr>
        <w:t>arXiv</w:t>
      </w:r>
      <w:proofErr w:type="spellEnd"/>
      <w:r>
        <w:rPr>
          <w:sz w:val="24"/>
          <w:szCs w:val="24"/>
        </w:rPr>
        <w:t>. https://arxiv.org/abs/2508.19611</w:t>
      </w:r>
    </w:p>
    <w:p w14:paraId="183D1F60" w14:textId="77777777" w:rsidR="003D4DFA" w:rsidRDefault="00000000">
      <w:pPr>
        <w:spacing w:after="200" w:line="480" w:lineRule="auto"/>
        <w:ind w:left="720" w:hanging="720"/>
        <w:jc w:val="both"/>
      </w:pPr>
      <w:r>
        <w:rPr>
          <w:sz w:val="24"/>
          <w:szCs w:val="24"/>
        </w:rPr>
        <w:t xml:space="preserve">Zhang, X., Zhang, C., Sun, J., Xiao, J., Yang, Y., &amp; Luo, Y. (2025). </w:t>
      </w:r>
      <w:proofErr w:type="spellStart"/>
      <w:r>
        <w:rPr>
          <w:sz w:val="24"/>
          <w:szCs w:val="24"/>
        </w:rPr>
        <w:t>EduPlanner</w:t>
      </w:r>
      <w:proofErr w:type="spellEnd"/>
      <w:r>
        <w:rPr>
          <w:sz w:val="24"/>
          <w:szCs w:val="24"/>
        </w:rPr>
        <w:t xml:space="preserve">: LLM-based multi-agent systems for customized and intelligent instructional design. IEEE </w:t>
      </w:r>
      <w:r>
        <w:rPr>
          <w:sz w:val="24"/>
          <w:szCs w:val="24"/>
        </w:rPr>
        <w:lastRenderedPageBreak/>
        <w:t>Transactions on Learning Technologies, 18(1), 416–427. https://doi.org/10.1109/TLT.2025.3561332</w:t>
      </w:r>
    </w:p>
    <w:sectPr w:rsidR="003D4DFA">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1D0EE5"/>
    <w:multiLevelType w:val="hybridMultilevel"/>
    <w:tmpl w:val="B658E102"/>
    <w:lvl w:ilvl="0" w:tplc="B57E3124">
      <w:start w:val="1"/>
      <w:numFmt w:val="bullet"/>
      <w:lvlText w:val="●"/>
      <w:lvlJc w:val="left"/>
      <w:pPr>
        <w:ind w:left="720" w:hanging="360"/>
      </w:pPr>
    </w:lvl>
    <w:lvl w:ilvl="1" w:tplc="C15214C2">
      <w:start w:val="1"/>
      <w:numFmt w:val="bullet"/>
      <w:lvlText w:val="○"/>
      <w:lvlJc w:val="left"/>
      <w:pPr>
        <w:ind w:left="1440" w:hanging="360"/>
      </w:pPr>
    </w:lvl>
    <w:lvl w:ilvl="2" w:tplc="9AC05540">
      <w:start w:val="1"/>
      <w:numFmt w:val="bullet"/>
      <w:lvlText w:val="■"/>
      <w:lvlJc w:val="left"/>
      <w:pPr>
        <w:ind w:left="2160" w:hanging="360"/>
      </w:pPr>
    </w:lvl>
    <w:lvl w:ilvl="3" w:tplc="F7B6908E">
      <w:start w:val="1"/>
      <w:numFmt w:val="bullet"/>
      <w:lvlText w:val="●"/>
      <w:lvlJc w:val="left"/>
      <w:pPr>
        <w:ind w:left="2880" w:hanging="360"/>
      </w:pPr>
    </w:lvl>
    <w:lvl w:ilvl="4" w:tplc="115C6C88">
      <w:start w:val="1"/>
      <w:numFmt w:val="bullet"/>
      <w:lvlText w:val="○"/>
      <w:lvlJc w:val="left"/>
      <w:pPr>
        <w:ind w:left="3600" w:hanging="360"/>
      </w:pPr>
    </w:lvl>
    <w:lvl w:ilvl="5" w:tplc="01A8C956">
      <w:start w:val="1"/>
      <w:numFmt w:val="bullet"/>
      <w:lvlText w:val="■"/>
      <w:lvlJc w:val="left"/>
      <w:pPr>
        <w:ind w:left="4320" w:hanging="360"/>
      </w:pPr>
    </w:lvl>
    <w:lvl w:ilvl="6" w:tplc="A0DEDA5A">
      <w:start w:val="1"/>
      <w:numFmt w:val="bullet"/>
      <w:lvlText w:val="●"/>
      <w:lvlJc w:val="left"/>
      <w:pPr>
        <w:ind w:left="5040" w:hanging="360"/>
      </w:pPr>
    </w:lvl>
    <w:lvl w:ilvl="7" w:tplc="59A4510A">
      <w:start w:val="1"/>
      <w:numFmt w:val="bullet"/>
      <w:lvlText w:val="●"/>
      <w:lvlJc w:val="left"/>
      <w:pPr>
        <w:ind w:left="5760" w:hanging="360"/>
      </w:pPr>
    </w:lvl>
    <w:lvl w:ilvl="8" w:tplc="789EE80C">
      <w:start w:val="1"/>
      <w:numFmt w:val="bullet"/>
      <w:lvlText w:val="●"/>
      <w:lvlJc w:val="left"/>
      <w:pPr>
        <w:ind w:left="6480" w:hanging="360"/>
      </w:pPr>
    </w:lvl>
  </w:abstractNum>
  <w:num w:numId="1" w16cid:durableId="5015512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DFA"/>
    <w:rsid w:val="00075C64"/>
    <w:rsid w:val="003D4DFA"/>
    <w:rsid w:val="00592BD2"/>
    <w:rsid w:val="00945BFD"/>
    <w:rsid w:val="00B9106D"/>
    <w:rsid w:val="00EB3D4A"/>
    <w:rsid w:val="00F11E48"/>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2A3AF"/>
  <w15:docId w15:val="{F4D27E09-AF4C-4D68-93E6-B80F6575C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HK" w:eastAsia="en-H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3C3B29-0D59-49BC-A1E2-FA097A60C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10</Pages>
  <Words>2236</Words>
  <Characters>12749</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 Jimboy Aniciete</cp:lastModifiedBy>
  <cp:revision>4</cp:revision>
  <dcterms:created xsi:type="dcterms:W3CDTF">2026-09-20T11:54:00Z</dcterms:created>
  <dcterms:modified xsi:type="dcterms:W3CDTF">2026-10-12T13:50:00Z</dcterms:modified>
</cp:coreProperties>
</file>