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E4A889" w14:textId="77777777" w:rsidR="007502C8" w:rsidRPr="00E41E93" w:rsidRDefault="007502C8" w:rsidP="00E41E93">
      <w:pPr>
        <w:spacing w:line="480" w:lineRule="auto"/>
        <w:jc w:val="center"/>
        <w:rPr>
          <w:rFonts w:ascii="Times New Roman" w:hAnsi="Times New Roman" w:cs="Times New Roman"/>
          <w:b/>
          <w:bCs/>
          <w:sz w:val="24"/>
          <w:szCs w:val="24"/>
        </w:rPr>
      </w:pPr>
      <w:r w:rsidRPr="00E41E93">
        <w:rPr>
          <w:rFonts w:ascii="Times New Roman" w:hAnsi="Times New Roman" w:cs="Times New Roman"/>
          <w:b/>
          <w:bCs/>
          <w:sz w:val="24"/>
          <w:szCs w:val="24"/>
        </w:rPr>
        <w:t>Project Context</w:t>
      </w:r>
    </w:p>
    <w:p w14:paraId="1DA01382" w14:textId="77777777" w:rsidR="002C5BE9" w:rsidRPr="002C5BE9" w:rsidRDefault="002C5BE9" w:rsidP="002C5BE9">
      <w:pPr>
        <w:spacing w:line="480" w:lineRule="auto"/>
        <w:jc w:val="both"/>
        <w:rPr>
          <w:rFonts w:ascii="Times New Roman" w:hAnsi="Times New Roman" w:cs="Times New Roman"/>
          <w:sz w:val="24"/>
          <w:szCs w:val="24"/>
        </w:rPr>
      </w:pPr>
    </w:p>
    <w:p w14:paraId="39C511C7" w14:textId="25DAB3F5" w:rsidR="002C5BE9" w:rsidRPr="002C5BE9" w:rsidRDefault="00E41E93" w:rsidP="002C5BE9">
      <w:pPr>
        <w:spacing w:line="480" w:lineRule="auto"/>
        <w:jc w:val="both"/>
        <w:rPr>
          <w:rFonts w:ascii="Times New Roman" w:hAnsi="Times New Roman" w:cs="Times New Roman"/>
          <w:sz w:val="24"/>
          <w:szCs w:val="24"/>
        </w:rPr>
      </w:pPr>
      <w:r>
        <w:rPr>
          <w:rFonts w:ascii="Times New Roman" w:hAnsi="Times New Roman" w:cs="Times New Roman"/>
          <w:sz w:val="24"/>
          <w:szCs w:val="24"/>
        </w:rPr>
        <w:tab/>
      </w:r>
      <w:r w:rsidR="002C5BE9" w:rsidRPr="002C5BE9">
        <w:rPr>
          <w:rFonts w:ascii="Times New Roman" w:hAnsi="Times New Roman" w:cs="Times New Roman"/>
          <w:sz w:val="24"/>
          <w:szCs w:val="24"/>
        </w:rPr>
        <w:t>In the contemporary educational landscape, teachers are burdened with administrative tasks that consume a disproportionate amount of their working hours. A major contributor to this workload is the manual administration and checking of student assessments. Grading physical test papers—including multiple-choice sheets, handwritten essays, and code snippets—is highly susceptible to human error, cognitive fatigue, and severe delays that prevent timely feedback. While traditional Optical Mark Recognition (OMR) hardware exists, it is expensive and limited strictly to shaded exams. There is a pressing need for a software-based computer vision solution that leverages Optical Character Recognition (OCR) to automatically evaluate diverse physical exam formats and seamlessly generate analytics to scrutinize assessment answers and generate feedback</w:t>
      </w:r>
    </w:p>
    <w:p w14:paraId="5847BF6E" w14:textId="7778F3D2" w:rsidR="002C5BE9" w:rsidRPr="002C5BE9" w:rsidRDefault="00E41E93" w:rsidP="002C5BE9">
      <w:pPr>
        <w:spacing w:line="480" w:lineRule="auto"/>
        <w:jc w:val="both"/>
        <w:rPr>
          <w:rFonts w:ascii="Times New Roman" w:hAnsi="Times New Roman" w:cs="Times New Roman"/>
          <w:sz w:val="24"/>
          <w:szCs w:val="24"/>
        </w:rPr>
      </w:pPr>
      <w:r>
        <w:rPr>
          <w:rFonts w:ascii="Times New Roman" w:hAnsi="Times New Roman" w:cs="Times New Roman"/>
          <w:sz w:val="24"/>
          <w:szCs w:val="24"/>
        </w:rPr>
        <w:tab/>
      </w:r>
      <w:r w:rsidR="002C5BE9" w:rsidRPr="002C5BE9">
        <w:rPr>
          <w:rFonts w:ascii="Times New Roman" w:hAnsi="Times New Roman" w:cs="Times New Roman"/>
          <w:sz w:val="24"/>
          <w:szCs w:val="24"/>
        </w:rPr>
        <w:t>Beyond physical grading, designing Outcome-Based Education (OBE) learning materials presents a substantial cognitive challenge. Institutional frameworks mandate that curricula align strictly with measurable competencies and specific action verbs. Currently, teachers must manually extract concepts from lengthy slide decks to draft structured lesson plans and valid assessments, leading to exhaustion and inconsistent instructional quality. While Generative AI offers potential relief, educators often lack the time or technical proficiency for complex "prompt engineering." A streamlined, "zero-typing" ecosystem is necessary—one where educators can simply upload raw teaching materials and rely on an autonomous system to draft OBE-aligned content based on their saved preferences.</w:t>
      </w:r>
    </w:p>
    <w:p w14:paraId="5D3228EC" w14:textId="77777777" w:rsidR="0056789B" w:rsidRDefault="0056789B" w:rsidP="002C5BE9">
      <w:pPr>
        <w:spacing w:line="480" w:lineRule="auto"/>
        <w:jc w:val="both"/>
        <w:rPr>
          <w:rFonts w:ascii="Times New Roman" w:hAnsi="Times New Roman" w:cs="Times New Roman"/>
          <w:sz w:val="24"/>
          <w:szCs w:val="24"/>
        </w:rPr>
      </w:pPr>
      <w:r>
        <w:rPr>
          <w:rFonts w:ascii="Times New Roman" w:hAnsi="Times New Roman" w:cs="Times New Roman"/>
          <w:sz w:val="24"/>
          <w:szCs w:val="24"/>
        </w:rPr>
        <w:tab/>
      </w:r>
      <w:r w:rsidR="002C5BE9" w:rsidRPr="002C5BE9">
        <w:rPr>
          <w:rFonts w:ascii="Times New Roman" w:hAnsi="Times New Roman" w:cs="Times New Roman"/>
          <w:sz w:val="24"/>
          <w:szCs w:val="24"/>
        </w:rPr>
        <w:t xml:space="preserve">Equally critical is the proactive monitoring of student engagement. Schools consistently struggle with student retention, as learners dealing with academic difficulties or chronic </w:t>
      </w:r>
      <w:r w:rsidR="002C5BE9" w:rsidRPr="002C5BE9">
        <w:rPr>
          <w:rFonts w:ascii="Times New Roman" w:hAnsi="Times New Roman" w:cs="Times New Roman"/>
          <w:sz w:val="24"/>
          <w:szCs w:val="24"/>
        </w:rPr>
        <w:lastRenderedPageBreak/>
        <w:t>absenteeism fall through the cracks of fragmented data systems. Often, educators discover a student is at high risk of failing only at the end of a grading period, when pedagogical interventions are too late. Institutions require a predictive analytic framework that continuously evaluates running metrics to visually classify students into distinct risk categories in real time.</w:t>
      </w:r>
    </w:p>
    <w:p w14:paraId="5EA0FB2D" w14:textId="6858BD19" w:rsidR="002C5BE9" w:rsidRPr="002C5BE9" w:rsidRDefault="0056789B" w:rsidP="002C5BE9">
      <w:pPr>
        <w:spacing w:line="480" w:lineRule="auto"/>
        <w:jc w:val="both"/>
        <w:rPr>
          <w:rFonts w:ascii="Times New Roman" w:hAnsi="Times New Roman" w:cs="Times New Roman"/>
          <w:sz w:val="24"/>
          <w:szCs w:val="24"/>
        </w:rPr>
      </w:pPr>
      <w:r>
        <w:rPr>
          <w:rFonts w:ascii="Times New Roman" w:hAnsi="Times New Roman" w:cs="Times New Roman"/>
          <w:sz w:val="24"/>
          <w:szCs w:val="24"/>
        </w:rPr>
        <w:tab/>
      </w:r>
      <w:r w:rsidR="002C5BE9" w:rsidRPr="002C5BE9">
        <w:rPr>
          <w:rFonts w:ascii="Times New Roman" w:hAnsi="Times New Roman" w:cs="Times New Roman"/>
          <w:sz w:val="24"/>
          <w:szCs w:val="24"/>
        </w:rPr>
        <w:t xml:space="preserve">To address these compounding challenges, this project proposes the development of </w:t>
      </w:r>
      <w:proofErr w:type="spellStart"/>
      <w:r w:rsidR="002C5BE9" w:rsidRPr="002C5BE9">
        <w:rPr>
          <w:rFonts w:ascii="Times New Roman" w:hAnsi="Times New Roman" w:cs="Times New Roman"/>
          <w:sz w:val="24"/>
          <w:szCs w:val="24"/>
        </w:rPr>
        <w:t>ACTSight</w:t>
      </w:r>
      <w:proofErr w:type="spellEnd"/>
      <w:r w:rsidR="002C5BE9" w:rsidRPr="002C5BE9">
        <w:rPr>
          <w:rFonts w:ascii="Times New Roman" w:hAnsi="Times New Roman" w:cs="Times New Roman"/>
          <w:sz w:val="24"/>
          <w:szCs w:val="24"/>
        </w:rPr>
        <w:t xml:space="preserve">: An OCR-Based Automated Assessment and Agentic Console for Quiz Automation, AI-Assisted Learning Plan Generation, and Student Retention Analytics. </w:t>
      </w:r>
      <w:proofErr w:type="spellStart"/>
      <w:r w:rsidR="002C5BE9" w:rsidRPr="002C5BE9">
        <w:rPr>
          <w:rFonts w:ascii="Times New Roman" w:hAnsi="Times New Roman" w:cs="Times New Roman"/>
          <w:sz w:val="24"/>
          <w:szCs w:val="24"/>
        </w:rPr>
        <w:t>ACTSight</w:t>
      </w:r>
      <w:proofErr w:type="spellEnd"/>
      <w:r w:rsidR="002C5BE9" w:rsidRPr="002C5BE9">
        <w:rPr>
          <w:rFonts w:ascii="Times New Roman" w:hAnsi="Times New Roman" w:cs="Times New Roman"/>
          <w:sz w:val="24"/>
          <w:szCs w:val="24"/>
        </w:rPr>
        <w:t xml:space="preserve"> is a comprehensive, AI-driven educational ecosystem designed to streamline the academic workflow. It features an OCR Assessment Engine that utilizes computer vision and alignment markers to digitize and grade physical answer sheets, essays, and code submissions. Concurrently, the Agentic Console employs a multi-agent Large Language Model architecture to autonomously generate strictly formatted OBE learning plans  without typed prompts. Moreover, educators can generate, disseminate and check the quizzes generated by the agentic console, guided by the chosen AI Model– </w:t>
      </w:r>
      <w:proofErr w:type="spellStart"/>
      <w:r w:rsidR="002C5BE9" w:rsidRPr="002C5BE9">
        <w:rPr>
          <w:rFonts w:ascii="Times New Roman" w:hAnsi="Times New Roman" w:cs="Times New Roman"/>
          <w:sz w:val="24"/>
          <w:szCs w:val="24"/>
        </w:rPr>
        <w:t>Ollama</w:t>
      </w:r>
      <w:proofErr w:type="spellEnd"/>
      <w:r w:rsidR="002C5BE9" w:rsidRPr="002C5BE9">
        <w:rPr>
          <w:rFonts w:ascii="Times New Roman" w:hAnsi="Times New Roman" w:cs="Times New Roman"/>
          <w:sz w:val="24"/>
          <w:szCs w:val="24"/>
        </w:rPr>
        <w:t xml:space="preserve"> Qwen. Scores from digitized or online quizzes are instantly computed using  dedicated formulas and routed into a landscape-ready E-</w:t>
      </w:r>
      <w:proofErr w:type="spellStart"/>
      <w:r w:rsidR="002C5BE9" w:rsidRPr="002C5BE9">
        <w:rPr>
          <w:rFonts w:ascii="Times New Roman" w:hAnsi="Times New Roman" w:cs="Times New Roman"/>
          <w:sz w:val="24"/>
          <w:szCs w:val="24"/>
        </w:rPr>
        <w:t>ClassRecord</w:t>
      </w:r>
      <w:proofErr w:type="spellEnd"/>
      <w:r w:rsidR="002C5BE9" w:rsidRPr="002C5BE9">
        <w:rPr>
          <w:rFonts w:ascii="Times New Roman" w:hAnsi="Times New Roman" w:cs="Times New Roman"/>
          <w:sz w:val="24"/>
          <w:szCs w:val="24"/>
        </w:rPr>
        <w:t xml:space="preserve">. Finally, a Predictive At-Risk Analytics dashboard plots Assessment Scores and Attendance onto an interactive four-quadrant scatter plot, instantly categorizing students into actionable risk profiles. By unifying these technologies, </w:t>
      </w:r>
      <w:proofErr w:type="spellStart"/>
      <w:r w:rsidR="002C5BE9" w:rsidRPr="002C5BE9">
        <w:rPr>
          <w:rFonts w:ascii="Times New Roman" w:hAnsi="Times New Roman" w:cs="Times New Roman"/>
          <w:sz w:val="24"/>
          <w:szCs w:val="24"/>
        </w:rPr>
        <w:t>ACTSight</w:t>
      </w:r>
      <w:proofErr w:type="spellEnd"/>
      <w:r w:rsidR="002C5BE9" w:rsidRPr="002C5BE9">
        <w:rPr>
          <w:rFonts w:ascii="Times New Roman" w:hAnsi="Times New Roman" w:cs="Times New Roman"/>
          <w:sz w:val="24"/>
          <w:szCs w:val="24"/>
        </w:rPr>
        <w:t xml:space="preserve"> empowers educators to reclaim instructional time and ensures data-driven, proactive student interventions.</w:t>
      </w:r>
    </w:p>
    <w:p w14:paraId="00000013" w14:textId="38355D4C" w:rsidR="001124C6" w:rsidRPr="002C5BE9" w:rsidRDefault="001124C6" w:rsidP="002C5BE9">
      <w:pPr>
        <w:jc w:val="both"/>
      </w:pPr>
    </w:p>
    <w:sectPr w:rsidR="001124C6" w:rsidRPr="002C5BE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19BDB5A7-8372-49AF-ACE0-E083008A9956}"/>
  </w:font>
  <w:font w:name="Cambria">
    <w:panose1 w:val="02040503050406030204"/>
    <w:charset w:val="00"/>
    <w:family w:val="roman"/>
    <w:pitch w:val="variable"/>
    <w:sig w:usb0="E00006FF" w:usb1="420024FF" w:usb2="02000000" w:usb3="00000000" w:csb0="0000019F" w:csb1="00000000"/>
    <w:embedRegular r:id="rId2" w:fontKey="{86B5C1BC-A32F-418A-8681-2735DB6D2909}"/>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24C6"/>
    <w:rsid w:val="001124C6"/>
    <w:rsid w:val="0012587F"/>
    <w:rsid w:val="00260565"/>
    <w:rsid w:val="002C5BE9"/>
    <w:rsid w:val="003F480E"/>
    <w:rsid w:val="0056789B"/>
    <w:rsid w:val="007502C8"/>
    <w:rsid w:val="00757AEE"/>
    <w:rsid w:val="00823586"/>
    <w:rsid w:val="009A799C"/>
    <w:rsid w:val="00C93106"/>
    <w:rsid w:val="00E41E93"/>
  </w:rsids>
  <m:mathPr>
    <m:mathFont m:val="Cambria Math"/>
    <m:brkBin m:val="before"/>
    <m:brkBinSub m:val="--"/>
    <m:smallFrac m:val="0"/>
    <m:dispDef/>
    <m:lMargin m:val="0"/>
    <m:rMargin m:val="0"/>
    <m:defJc m:val="centerGroup"/>
    <m:wrapIndent m:val="1440"/>
    <m:intLim m:val="subSup"/>
    <m:naryLim m:val="undOvr"/>
  </m:mathPr>
  <w:themeFontLang w:val="en-H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20952"/>
  <w15:docId w15:val="{DA7BD004-A3D7-49D3-9AAC-CFE177BA4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HK"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TotalTime>
  <Pages>2</Pages>
  <Words>527</Words>
  <Characters>3008</Characters>
  <Application>Microsoft Office Word</Application>
  <DocSecurity>0</DocSecurity>
  <Lines>25</Lines>
  <Paragraphs>7</Paragraphs>
  <ScaleCrop>false</ScaleCrop>
  <Company/>
  <LinksUpToDate>false</LinksUpToDate>
  <CharactersWithSpaces>3528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AJ Jimboy Aniciete</cp:lastModifiedBy>
  <cp:revision>9</cp:revision>
  <dcterms:created xsi:type="dcterms:W3CDTF">2026-08-18T15:09:00Z</dcterms:created>
  <dcterms:modified xsi:type="dcterms:W3CDTF">2026-09-16T16:43:00Z</dcterms:modified>
</cp:coreProperties>
</file>