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B365D"/>
          <w:sz w:val="44"/>
        </w:rPr>
        <w:t>Review of Related Studies</w:t>
      </w:r>
    </w:p>
    <w:p>
      <w:pPr>
        <w:spacing w:before="0" w:after="360"/>
      </w:pPr>
      <w:r>
        <w:rPr>
          <w:rFonts w:ascii="Calibri" w:hAnsi="Calibri"/>
          <w:i/>
          <w:color w:val="555555"/>
          <w:sz w:val="22"/>
        </w:rPr>
        <w:t>Thesis Chapter 2 Empirical &amp; Implementation Studies</w:t>
      </w:r>
    </w:p>
    <w:p>
      <w:pPr>
        <w:spacing w:after="280"/>
        <w:pBdr>
          <w:bottom w:val="single" w:sz="12" w:space="1" w:color="1B365D"/>
        </w:pBdr>
      </w:pP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“Automated multiple-choice test checking system” (2025)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Focuses on an automated multiple-choice test checking system tailored for local academic application.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Lacea, J. B., &amp; Palaoag, T. D. (2025). Automated multiple-choice test checking system. Journal of Integrated Science, Engineering, and Mathematics. https://jisem-journal.com/index.php/journal/article/view/4427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“EduPlanner: LLM-based multi-agent systems for customized and intelligent instructional design” (2025)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Explores LLM-based multi-agent systems designed for customized and intelligent instructional design workflows.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Zhang, X., Zhang, C., Sun, J., Xiao, J., Yang, Y., &amp; Luo, Y. (2025). EduPlanner: LLM-based multi-agent systems for customized and intelligent instructional design. IEEE Transactions on Learning Technologies, 18(1), 416–427. https://doi.org/10.1109/TLT.2025.3561332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“Instructional agents: Reducing teaching faculty workload through multi-agent instructional design” (2025)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Investigates how multi-agent instructional design frameworks can alleviate teaching faculty workloads.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Yao, H., Xu, W., Turnau, J., Kellam, N., &amp; Wei, H. (2025). Instructional agents: Reducing teaching faculty workload through multi-agent instructional design. arXiv. https://arxiv.org/abs/2508.19611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“Travaux agencés pour améliorer le développement de cours [Agentic workflows to improve course development]” (2024)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Analyzes agentic workflows utilized to streamline and enhance modern course development processes.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Bartolf, D., Kahl, S., Woo, J., &amp; Reeves, T. (2024). Travaux agencés pour améliorer le développement de cours [Agentic workflows to improve course development]. Journal of Applied Instructional Design, 14(3). https://edtechbooks.org/jaid_14_3/pkvbrlqcgn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“AgentLesson: LLM-based multi-agent system for educational lesson plan generation” (2026)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Examines a multi-agent system powered by large language models to automate educational lesson plan creation.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Chen, Y., Yang, Y., &amp; Xu, G. (2026). AgentLesson: LLM-based multi-agent system for educational lesson plan generation. In Proceedings of the International Conference on Artificial Intelligence in Education (AIED 2025). Springer. https://link.springer.com/chapter/10.1007/978-981-95-7138-3_11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“A scoping review of large language model-based pedagogical agents in education” (2026)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Synthesizes existing literature surrounding the implementation and impact of LLM-based pedagogical agents in education.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Li, X., &amp; Zheng, Y. (2026). A scoping review of large language model-based pedagogical agents in education. Computers and Education: Artificial Intelligence, 10, Article 100432. https://doi.org/10.1016/j.caeai.2026.100432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“Navigating the generative artificial intelligence era: Charting the course for curricular reform in higher education in the Philippines” (2024)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Examines generative AI's impact on Philippine higher education curricula and outlines policy recommendations for integration.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Philippine Institute for Development Studies. (2024). Navigating the generative artificial intelligence era: Charting the course for curricular reform in higher education in the Philippines (CIDS-MS-24-006). UP National Center for Integrative Development Studies. https://serp-p.pids.gov.ph/publication/public/view?slug=navigating-the-generative-artificial-intelligence-era-charting-the-course-for-curricular-reform-in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“The rise of an AI in education: Exploring the impact of perception of large language models in the critical thinking and self-efficacy of health-allied senior high school students” (2024)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Explores how local senior high school students' perceptions of LLMs influence their critical thinking and self-efficacy.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Ordonez, J. R., Sadiasa, J. S., &amp; Soriaso, B. F. (2024). The rise of an AI in education: Exploring the impact of perception of large language models in the critical thinking and self-efficacy of health-allied senior high school students. [Research output, De La Salle Medical and Health Sciences Institute]. GreenPrints. https://greenprints.dlshsi.edu.ph/grade_12/649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“Module I: Agentic artificial intelligence (AI) and large language models (LLMs)” (2026)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Outlines a professional Philippine training course curriculum addressing stateful multi-agent workflows, LangGraph, and tool-using agents.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UP National Engineering Center Professional Engineering Training Division. (2026). Module I: Agentic artificial intelligence (AI) and large language models (LLMs) [Training course curriculum]. UP National Engineering Center. https://www.linkedin.com/posts/up-national-engineering-center_upnec-upnectraining-upnecpetd-activity-7492852191045705728-Ftkg</w:t>
      </w:r>
    </w:p>
    <w:p>
      <w:pPr>
        <w:keepNext/>
        <w:spacing w:before="160" w:after="60"/>
      </w:pPr>
      <w:r>
        <w:rPr>
          <w:rFonts w:ascii="Calibri" w:hAnsi="Calibri"/>
          <w:b/>
          <w:color w:val="1B365D"/>
          <w:sz w:val="24"/>
        </w:rPr>
        <w:t>“Integrating generative AI in university teaching and learning: A model for balanced guidelines” (2024)</w:t>
      </w:r>
    </w:p>
    <w:p>
      <w:pPr>
        <w:keepNext/>
        <w:spacing w:before="0" w:after="60"/>
      </w:pPr>
      <w:r>
        <w:rPr>
          <w:rFonts w:ascii="Calibri" w:hAnsi="Calibri"/>
          <w:b/>
          <w:color w:val="333333"/>
          <w:sz w:val="21"/>
        </w:rPr>
        <w:t xml:space="preserve">Relevance: </w:t>
      </w:r>
      <w:r>
        <w:rPr>
          <w:rFonts w:ascii="Calibri" w:hAnsi="Calibri"/>
          <w:color w:val="333333"/>
          <w:sz w:val="21"/>
        </w:rPr>
        <w:t>Proposes a comprehensive model for balanced institutional guidelines when integrating generative AI into university teaching and learning environments.</w:t>
      </w:r>
    </w:p>
    <w:p>
      <w:pPr>
        <w:spacing w:before="0" w:after="240"/>
      </w:pPr>
      <w:r>
        <w:rPr>
          <w:rFonts w:ascii="Calibri" w:hAnsi="Calibri"/>
          <w:b/>
          <w:color w:val="333333"/>
          <w:sz w:val="21"/>
        </w:rPr>
        <w:t xml:space="preserve">APA Citation: </w:t>
      </w:r>
      <w:r>
        <w:rPr>
          <w:rFonts w:ascii="Calibri" w:hAnsi="Calibri"/>
          <w:color w:val="004080"/>
          <w:sz w:val="21"/>
        </w:rPr>
        <w:t>Chan, C. K. Y., &amp; Tanyag, M. A. V. (2024). Integrating generative AI in university teaching and learning: A model for balanced guidelines. Online Learning Journal, 28(3), 1–24. https://olj.onlinelearningconsortium.org/index.php/olj/article/view/4508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