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DC332" w14:textId="77777777" w:rsidR="00F408AE" w:rsidRPr="00BD4893" w:rsidRDefault="00F408AE" w:rsidP="00F408AE">
      <w:pPr>
        <w:spacing w:line="480" w:lineRule="auto"/>
        <w:jc w:val="center"/>
        <w:rPr>
          <w:b/>
          <w:bCs/>
          <w:sz w:val="24"/>
          <w:szCs w:val="24"/>
        </w:rPr>
      </w:pPr>
      <w:r>
        <w:rPr>
          <w:b/>
          <w:bCs/>
          <w:sz w:val="24"/>
          <w:szCs w:val="24"/>
        </w:rPr>
        <w:t>Scope and Limitations of the Study</w:t>
      </w:r>
    </w:p>
    <w:p w14:paraId="284610CF" w14:textId="77777777" w:rsidR="00F408AE" w:rsidRDefault="00F408AE" w:rsidP="00F408AE">
      <w:pPr>
        <w:spacing w:after="200" w:line="480" w:lineRule="auto"/>
        <w:ind w:firstLine="720"/>
        <w:jc w:val="both"/>
      </w:pPr>
      <w:r>
        <w:rPr>
          <w:sz w:val="24"/>
          <w:szCs w:val="24"/>
        </w:rPr>
        <w:t>This study is scoped to the design and development of an automated scoring engine that evaluates open-ended student written responses, with essay scoring as its primary and most rigorously developed capability and short-answer scoring included only as a limited, secondary feature. The intended users of the system are teachers and instructors, with the potential to extend its benefits to entire academic institutions that choose to adopt it, either through a standalone, browser-based grading application or through a documented API that a school's existing Virtual Learning Environment (VLE) can call. This dual-access design allows the system to be used directly by a teacher with no technical background, or integrated by a developer into a larger platform already in use by the school. At a high level, the scoring process begins when a student's written response is submitted through the web interface or the API, after which the text is cleaned and prepared for analysis, passed through a fine-tuned language model to generate a numeric score and short accompanying feedback, and then stored and returned to the requesting user or system. This design follows established practice in automated scoring research, where such systems are built specifically to support, rather than replace, the evaluation of constructed-response writing tasks (Plasencia-</w:t>
      </w:r>
      <w:proofErr w:type="spellStart"/>
      <w:r>
        <w:rPr>
          <w:sz w:val="24"/>
          <w:szCs w:val="24"/>
        </w:rPr>
        <w:t>Calaña</w:t>
      </w:r>
      <w:proofErr w:type="spellEnd"/>
      <w:r>
        <w:rPr>
          <w:sz w:val="24"/>
          <w:szCs w:val="24"/>
        </w:rPr>
        <w:t>, 2025).</w:t>
      </w:r>
    </w:p>
    <w:p w14:paraId="22FF9F28" w14:textId="77777777" w:rsidR="00F408AE" w:rsidRDefault="00F408AE" w:rsidP="00F408AE">
      <w:pPr>
        <w:spacing w:after="200" w:line="480" w:lineRule="auto"/>
        <w:ind w:firstLine="720"/>
        <w:jc w:val="both"/>
      </w:pPr>
      <w:r>
        <w:rPr>
          <w:sz w:val="24"/>
          <w:szCs w:val="24"/>
        </w:rPr>
        <w:t xml:space="preserve">The features covered by this study are limited to those the group has confirmed as feasible to build within the semester. These include the submission of essay and short-answer responses through both a web form and an API endpoint; preprocessing and tokenization of the submitted text; automated score generation through a fine-tuned </w:t>
      </w:r>
      <w:proofErr w:type="spellStart"/>
      <w:r>
        <w:rPr>
          <w:sz w:val="24"/>
          <w:szCs w:val="24"/>
        </w:rPr>
        <w:t>DistilBERT</w:t>
      </w:r>
      <w:proofErr w:type="spellEnd"/>
      <w:r>
        <w:rPr>
          <w:sz w:val="24"/>
          <w:szCs w:val="24"/>
        </w:rPr>
        <w:t xml:space="preserve"> model (Soumia et al., 2024); generation of brief supplementary feedback alongside the numeric score; a teacher-facing review interface that allows an AI-generated score to be viewed and, when necessary, manually overridden before it is treated as final; and storage of submissions, scores, feedback, and override </w:t>
      </w:r>
      <w:r>
        <w:rPr>
          <w:sz w:val="24"/>
          <w:szCs w:val="24"/>
        </w:rPr>
        <w:lastRenderedPageBreak/>
        <w:t>records in a MySQL database. Digitization of handwritten responses through optical character recognition (OCR) is treated as an optional extension rather than a core feature and will only be pursued if time and resources allow. Features not listed here, such as plagiarism detection, class-wide ranking analytics, or support for languages other than English, are not part of this study's planned implementation.</w:t>
      </w:r>
    </w:p>
    <w:p w14:paraId="43897FB9" w14:textId="77777777" w:rsidR="00F408AE" w:rsidRDefault="00F408AE" w:rsidP="00F408AE">
      <w:pPr>
        <w:spacing w:after="200" w:line="480" w:lineRule="auto"/>
        <w:ind w:firstLine="720"/>
        <w:jc w:val="both"/>
      </w:pPr>
      <w:r>
        <w:rPr>
          <w:sz w:val="24"/>
          <w:szCs w:val="24"/>
        </w:rPr>
        <w:t xml:space="preserve">Scoring in this system is bounded by what a single fine-tuned regression model can learn from </w:t>
      </w:r>
      <w:proofErr w:type="spellStart"/>
      <w:r>
        <w:rPr>
          <w:sz w:val="24"/>
          <w:szCs w:val="24"/>
        </w:rPr>
        <w:t>labeled</w:t>
      </w:r>
      <w:proofErr w:type="spellEnd"/>
      <w:r>
        <w:rPr>
          <w:sz w:val="24"/>
          <w:szCs w:val="24"/>
        </w:rPr>
        <w:t xml:space="preserve"> training data rather than by a manually configurable, teacher-defined rubric. The model is trained to predict a holistic score that reflects patterns associated with higher- and lower-quality responses in its training data, consistent with how modern neural automated essay scoring (AES) systems have shifted from hand-engineered rubric features toward learned representations of essay quality (</w:t>
      </w:r>
      <w:proofErr w:type="spellStart"/>
      <w:r>
        <w:rPr>
          <w:sz w:val="24"/>
          <w:szCs w:val="24"/>
        </w:rPr>
        <w:t>Misgna</w:t>
      </w:r>
      <w:proofErr w:type="spellEnd"/>
      <w:r>
        <w:rPr>
          <w:sz w:val="24"/>
          <w:szCs w:val="24"/>
        </w:rPr>
        <w:t xml:space="preserve"> et al., 2025). Scores are reported on a defined numeric scale consistent with standard AES scoring conventions, and the system's ability to reproduce this scale is measured using Quadratic Weighted Kappa, the standard agreement metric commonly used in essay-scoring research (</w:t>
      </w:r>
      <w:proofErr w:type="spellStart"/>
      <w:r>
        <w:rPr>
          <w:sz w:val="24"/>
          <w:szCs w:val="24"/>
        </w:rPr>
        <w:t>Doewes</w:t>
      </w:r>
      <w:proofErr w:type="spellEnd"/>
      <w:r>
        <w:rPr>
          <w:sz w:val="24"/>
          <w:szCs w:val="24"/>
        </w:rPr>
        <w:t xml:space="preserve"> et al., 2023). Essay-type responses are the primary and most thoroughly evaluated response type in this study. Short-answer responses, while accepted as input, are treated as a secondary and less rigorously validated capability, since short-answer evaluation is fundamentally a different task, closer to a semantic-similarity check against an expected answer, than the holistic judgment involved in scoring an essay.</w:t>
      </w:r>
    </w:p>
    <w:p w14:paraId="0CF5ACE9" w14:textId="77777777" w:rsidR="00F408AE" w:rsidRDefault="00F408AE" w:rsidP="00F408AE">
      <w:pPr>
        <w:spacing w:after="200" w:line="480" w:lineRule="auto"/>
        <w:ind w:firstLine="720"/>
        <w:jc w:val="both"/>
      </w:pPr>
      <w:r>
        <w:rPr>
          <w:sz w:val="24"/>
          <w:szCs w:val="24"/>
        </w:rPr>
        <w:t xml:space="preserve">Because the system relies on a machine learning model trained on existing </w:t>
      </w:r>
      <w:proofErr w:type="spellStart"/>
      <w:r>
        <w:rPr>
          <w:sz w:val="24"/>
          <w:szCs w:val="24"/>
        </w:rPr>
        <w:t>labeled</w:t>
      </w:r>
      <w:proofErr w:type="spellEnd"/>
      <w:r>
        <w:rPr>
          <w:sz w:val="24"/>
          <w:szCs w:val="24"/>
        </w:rPr>
        <w:t xml:space="preserve"> data, its scoring cannot be expected to perfectly replicate the nuanced judgment of an experienced human evaluator; research on automated essay scoring has consistently found that fully capturing content relevance, coherence, and idea development remains a difficult and unresolved challenge for automated systems (Ramesh &amp; </w:t>
      </w:r>
      <w:proofErr w:type="spellStart"/>
      <w:r>
        <w:rPr>
          <w:sz w:val="24"/>
          <w:szCs w:val="24"/>
        </w:rPr>
        <w:t>Sanampudi</w:t>
      </w:r>
      <w:proofErr w:type="spellEnd"/>
      <w:r>
        <w:rPr>
          <w:sz w:val="24"/>
          <w:szCs w:val="24"/>
        </w:rPr>
        <w:t xml:space="preserve">, 2022). The quality of the scores the system produces </w:t>
      </w:r>
      <w:r>
        <w:rPr>
          <w:sz w:val="24"/>
          <w:szCs w:val="24"/>
        </w:rPr>
        <w:lastRenderedPageBreak/>
        <w:t xml:space="preserve">is also tied directly to the quality and representativeness of the dataset used for training and fine-tuning, so a model trained primarily on one population or writing style may not generalize equally well to students of different backgrounds or levels of English proficiency. Highly subjective or open-interpretation responses may be difficult for the system to evaluate consistently, since the model has no explicit understanding of meaning in the way a human grader does. In addition, the system in its core form only accepts typed or digitally submitted text; handwritten responses fall outside the primary scope and are only reachable through the optional OCR extension, which is not guaranteed to achieve high accuracy. Finally, because model development in this study </w:t>
      </w:r>
      <w:proofErr w:type="spellStart"/>
      <w:r>
        <w:rPr>
          <w:sz w:val="24"/>
          <w:szCs w:val="24"/>
        </w:rPr>
        <w:t>centers</w:t>
      </w:r>
      <w:proofErr w:type="spellEnd"/>
      <w:r>
        <w:rPr>
          <w:sz w:val="24"/>
          <w:szCs w:val="24"/>
        </w:rPr>
        <w:t xml:space="preserve"> on essay data, the system's short-answer scoring is expected to be comparatively less refined and less thoroughly validated than its essay scoring.</w:t>
      </w:r>
    </w:p>
    <w:p w14:paraId="47F70BCF" w14:textId="77777777" w:rsidR="00F408AE" w:rsidRPr="00971BF1" w:rsidRDefault="00F408AE" w:rsidP="00F408AE">
      <w:pPr>
        <w:spacing w:after="200" w:line="480" w:lineRule="auto"/>
        <w:ind w:firstLine="720"/>
        <w:jc w:val="both"/>
      </w:pPr>
      <w:r>
        <w:rPr>
          <w:sz w:val="24"/>
          <w:szCs w:val="24"/>
        </w:rPr>
        <w:t>This study explicitly excludes several capabilities from its scope. The system does not replace the teacher's professional judgment; every AI-generated score can be reviewed and, if necessary, overridden by a teacher before it is treated as final, preserving human oversight over the grading decision. It does not evaluate oral presentations, spoken responses, or any other non-text-based form of assessment. It does not assess handwriting quality or penmanship, and it does not process physical, handwritten submissions unless they are first digitized through the optional OCR extension, which lies outside the project's core scope. The system is also not a general-purpose or subject-agnostic grading tool; it is designed specifically to score essay and short-answer written responses, and it does not perform broader tutoring, conversational assistance, or open-ended dialogue with students, which distinguishes it from chatbot-style educational tools. Finally, this project does not aim to build a complete Virtual Learning Environment; it is intended as a standalone, pluggable scoring service that a school's existing VLE can optionally integrate with through its API, not as a replacement for that VLE.</w:t>
      </w:r>
    </w:p>
    <w:p w14:paraId="51F5CC8C" w14:textId="0DBA5EA5" w:rsidR="000B3B8F" w:rsidRDefault="00F408AE">
      <w:pPr>
        <w:spacing w:before="400" w:after="200"/>
        <w:jc w:val="center"/>
      </w:pPr>
      <w:r>
        <w:rPr>
          <w:b/>
          <w:bCs/>
          <w:sz w:val="26"/>
          <w:szCs w:val="26"/>
        </w:rPr>
        <w:lastRenderedPageBreak/>
        <w:t>REFERENCES</w:t>
      </w:r>
    </w:p>
    <w:p w14:paraId="5DB4E60F" w14:textId="77777777" w:rsidR="000B3B8F" w:rsidRDefault="00000000">
      <w:pPr>
        <w:spacing w:after="200" w:line="360" w:lineRule="auto"/>
        <w:ind w:left="720" w:hanging="720"/>
      </w:pPr>
      <w:proofErr w:type="spellStart"/>
      <w:r>
        <w:rPr>
          <w:sz w:val="24"/>
          <w:szCs w:val="24"/>
        </w:rPr>
        <w:t>Doewes</w:t>
      </w:r>
      <w:proofErr w:type="spellEnd"/>
      <w:r>
        <w:rPr>
          <w:sz w:val="24"/>
          <w:szCs w:val="24"/>
        </w:rPr>
        <w:t xml:space="preserve">, A., </w:t>
      </w:r>
      <w:proofErr w:type="spellStart"/>
      <w:r>
        <w:rPr>
          <w:sz w:val="24"/>
          <w:szCs w:val="24"/>
        </w:rPr>
        <w:t>Kurdhi</w:t>
      </w:r>
      <w:proofErr w:type="spellEnd"/>
      <w:r>
        <w:rPr>
          <w:sz w:val="24"/>
          <w:szCs w:val="24"/>
        </w:rPr>
        <w:t>, N. A., &amp; Saxena, A. (2023). Evaluating quadratic weighted kappa as the standard performance metric for automated essay scoring. Proceedings of the 16th International Conference on Educational Data Mining, 103–113. https://doi.org/10.5281/zenodo.8115784</w:t>
      </w:r>
    </w:p>
    <w:p w14:paraId="7FEAA70F" w14:textId="77777777" w:rsidR="000B3B8F" w:rsidRDefault="00000000">
      <w:pPr>
        <w:spacing w:after="200" w:line="360" w:lineRule="auto"/>
        <w:ind w:left="720" w:hanging="720"/>
      </w:pPr>
      <w:proofErr w:type="spellStart"/>
      <w:r>
        <w:rPr>
          <w:sz w:val="24"/>
          <w:szCs w:val="24"/>
        </w:rPr>
        <w:t>Misgna</w:t>
      </w:r>
      <w:proofErr w:type="spellEnd"/>
      <w:r>
        <w:rPr>
          <w:sz w:val="24"/>
          <w:szCs w:val="24"/>
        </w:rPr>
        <w:t>, H., On, B.-W., Lee, I., &amp; Choi, G. S. (2025). A survey on deep learning-based automated essay scoring and feedback generation. Artificial Intelligence Review, 58(2), Article 11017. https://doi.org/10.1007/s10462-024-11017-5</w:t>
      </w:r>
    </w:p>
    <w:p w14:paraId="6817F3F1" w14:textId="77777777" w:rsidR="000B3B8F" w:rsidRDefault="00000000">
      <w:pPr>
        <w:spacing w:after="200" w:line="360" w:lineRule="auto"/>
        <w:ind w:left="720" w:hanging="720"/>
      </w:pPr>
      <w:r>
        <w:rPr>
          <w:sz w:val="24"/>
          <w:szCs w:val="24"/>
        </w:rPr>
        <w:t>Plasencia-</w:t>
      </w:r>
      <w:proofErr w:type="spellStart"/>
      <w:r>
        <w:rPr>
          <w:sz w:val="24"/>
          <w:szCs w:val="24"/>
        </w:rPr>
        <w:t>Calaña</w:t>
      </w:r>
      <w:proofErr w:type="spellEnd"/>
      <w:r>
        <w:rPr>
          <w:sz w:val="24"/>
          <w:szCs w:val="24"/>
        </w:rPr>
        <w:t xml:space="preserve">, Y. (2025). Operationalizing automated essay scoring: A human-aware approach. </w:t>
      </w:r>
      <w:proofErr w:type="spellStart"/>
      <w:r>
        <w:rPr>
          <w:sz w:val="24"/>
          <w:szCs w:val="24"/>
        </w:rPr>
        <w:t>arXiv</w:t>
      </w:r>
      <w:proofErr w:type="spellEnd"/>
      <w:r>
        <w:rPr>
          <w:sz w:val="24"/>
          <w:szCs w:val="24"/>
        </w:rPr>
        <w:t>. https://doi.org/10.48550/arXiv.2506.21603</w:t>
      </w:r>
    </w:p>
    <w:p w14:paraId="79F64A60" w14:textId="77777777" w:rsidR="000B3B8F" w:rsidRDefault="00000000">
      <w:pPr>
        <w:spacing w:after="200" w:line="360" w:lineRule="auto"/>
        <w:ind w:left="720" w:hanging="720"/>
      </w:pPr>
      <w:r>
        <w:rPr>
          <w:sz w:val="24"/>
          <w:szCs w:val="24"/>
        </w:rPr>
        <w:t xml:space="preserve">Ramesh, D., &amp; </w:t>
      </w:r>
      <w:proofErr w:type="spellStart"/>
      <w:r>
        <w:rPr>
          <w:sz w:val="24"/>
          <w:szCs w:val="24"/>
        </w:rPr>
        <w:t>Sanampudi</w:t>
      </w:r>
      <w:proofErr w:type="spellEnd"/>
      <w:r>
        <w:rPr>
          <w:sz w:val="24"/>
          <w:szCs w:val="24"/>
        </w:rPr>
        <w:t xml:space="preserve">, S. K. (2022). An </w:t>
      </w:r>
      <w:proofErr w:type="gramStart"/>
      <w:r>
        <w:rPr>
          <w:sz w:val="24"/>
          <w:szCs w:val="24"/>
        </w:rPr>
        <w:t>automated essay scoring systems</w:t>
      </w:r>
      <w:proofErr w:type="gramEnd"/>
      <w:r>
        <w:rPr>
          <w:sz w:val="24"/>
          <w:szCs w:val="24"/>
        </w:rPr>
        <w:t>: A systematic literature review. Artificial Intelligence Review, 55(3), 2495–2527. https://doi.org/10.1007/s10462-021-10068-2</w:t>
      </w:r>
    </w:p>
    <w:p w14:paraId="78903F4E" w14:textId="77777777" w:rsidR="000B3B8F" w:rsidRDefault="00000000">
      <w:pPr>
        <w:spacing w:after="200" w:line="360" w:lineRule="auto"/>
        <w:ind w:left="720" w:hanging="720"/>
      </w:pPr>
      <w:r>
        <w:rPr>
          <w:sz w:val="24"/>
          <w:szCs w:val="24"/>
        </w:rPr>
        <w:t xml:space="preserve">Sanh, V., Debut, L., </w:t>
      </w:r>
      <w:proofErr w:type="spellStart"/>
      <w:r>
        <w:rPr>
          <w:sz w:val="24"/>
          <w:szCs w:val="24"/>
        </w:rPr>
        <w:t>Chaumond</w:t>
      </w:r>
      <w:proofErr w:type="spellEnd"/>
      <w:r>
        <w:rPr>
          <w:sz w:val="24"/>
          <w:szCs w:val="24"/>
        </w:rPr>
        <w:t xml:space="preserve">, J., &amp; Wolf, T. (2019). </w:t>
      </w:r>
      <w:proofErr w:type="spellStart"/>
      <w:r>
        <w:rPr>
          <w:sz w:val="24"/>
          <w:szCs w:val="24"/>
        </w:rPr>
        <w:t>DistilBERT</w:t>
      </w:r>
      <w:proofErr w:type="spellEnd"/>
      <w:r>
        <w:rPr>
          <w:sz w:val="24"/>
          <w:szCs w:val="24"/>
        </w:rPr>
        <w:t xml:space="preserve">, a distilled version of BERT: Smaller, faster, cheaper and lighter. </w:t>
      </w:r>
      <w:proofErr w:type="spellStart"/>
      <w:r>
        <w:rPr>
          <w:sz w:val="24"/>
          <w:szCs w:val="24"/>
        </w:rPr>
        <w:t>arXiv</w:t>
      </w:r>
      <w:proofErr w:type="spellEnd"/>
      <w:r>
        <w:rPr>
          <w:sz w:val="24"/>
          <w:szCs w:val="24"/>
        </w:rPr>
        <w:t>. https://arxiv.org/abs/1910.01108</w:t>
      </w:r>
    </w:p>
    <w:sectPr w:rsidR="000B3B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E0302"/>
    <w:multiLevelType w:val="hybridMultilevel"/>
    <w:tmpl w:val="3A2C2656"/>
    <w:lvl w:ilvl="0" w:tplc="36BC1E76">
      <w:start w:val="1"/>
      <w:numFmt w:val="bullet"/>
      <w:lvlText w:val="●"/>
      <w:lvlJc w:val="left"/>
      <w:pPr>
        <w:ind w:left="720" w:hanging="360"/>
      </w:pPr>
    </w:lvl>
    <w:lvl w:ilvl="1" w:tplc="044ACFD0">
      <w:start w:val="1"/>
      <w:numFmt w:val="bullet"/>
      <w:lvlText w:val="○"/>
      <w:lvlJc w:val="left"/>
      <w:pPr>
        <w:ind w:left="1440" w:hanging="360"/>
      </w:pPr>
    </w:lvl>
    <w:lvl w:ilvl="2" w:tplc="1CF4348C">
      <w:start w:val="1"/>
      <w:numFmt w:val="bullet"/>
      <w:lvlText w:val="■"/>
      <w:lvlJc w:val="left"/>
      <w:pPr>
        <w:ind w:left="2160" w:hanging="360"/>
      </w:pPr>
    </w:lvl>
    <w:lvl w:ilvl="3" w:tplc="6A0A98CE">
      <w:start w:val="1"/>
      <w:numFmt w:val="bullet"/>
      <w:lvlText w:val="●"/>
      <w:lvlJc w:val="left"/>
      <w:pPr>
        <w:ind w:left="2880" w:hanging="360"/>
      </w:pPr>
    </w:lvl>
    <w:lvl w:ilvl="4" w:tplc="A090664A">
      <w:start w:val="1"/>
      <w:numFmt w:val="bullet"/>
      <w:lvlText w:val="○"/>
      <w:lvlJc w:val="left"/>
      <w:pPr>
        <w:ind w:left="3600" w:hanging="360"/>
      </w:pPr>
    </w:lvl>
    <w:lvl w:ilvl="5" w:tplc="BC96559E">
      <w:start w:val="1"/>
      <w:numFmt w:val="bullet"/>
      <w:lvlText w:val="■"/>
      <w:lvlJc w:val="left"/>
      <w:pPr>
        <w:ind w:left="4320" w:hanging="360"/>
      </w:pPr>
    </w:lvl>
    <w:lvl w:ilvl="6" w:tplc="1144E3EA">
      <w:start w:val="1"/>
      <w:numFmt w:val="bullet"/>
      <w:lvlText w:val="●"/>
      <w:lvlJc w:val="left"/>
      <w:pPr>
        <w:ind w:left="5040" w:hanging="360"/>
      </w:pPr>
    </w:lvl>
    <w:lvl w:ilvl="7" w:tplc="18B08ECE">
      <w:start w:val="1"/>
      <w:numFmt w:val="bullet"/>
      <w:lvlText w:val="●"/>
      <w:lvlJc w:val="left"/>
      <w:pPr>
        <w:ind w:left="5760" w:hanging="360"/>
      </w:pPr>
    </w:lvl>
    <w:lvl w:ilvl="8" w:tplc="E1E6C0FA">
      <w:start w:val="1"/>
      <w:numFmt w:val="bullet"/>
      <w:lvlText w:val="●"/>
      <w:lvlJc w:val="left"/>
      <w:pPr>
        <w:ind w:left="6480" w:hanging="360"/>
      </w:pPr>
    </w:lvl>
  </w:abstractNum>
  <w:num w:numId="1" w16cid:durableId="17863840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B8F"/>
    <w:rsid w:val="000B3B8F"/>
    <w:rsid w:val="003F480E"/>
    <w:rsid w:val="005E0FAB"/>
    <w:rsid w:val="00C93106"/>
    <w:rsid w:val="00F408AE"/>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602E9"/>
  <w15:docId w15:val="{DA7BD004-A3D7-49D3-9AAC-CFE177BA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HK" w:eastAsia="en-H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50A12-CB32-411C-8F60-176CA0D6F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1093</Words>
  <Characters>6233</Characters>
  <Application>Microsoft Office Word</Application>
  <DocSecurity>0</DocSecurity>
  <Lines>51</Lines>
  <Paragraphs>14</Paragraphs>
  <ScaleCrop>false</ScaleCrop>
  <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 Jimboy Aniciete</cp:lastModifiedBy>
  <cp:revision>3</cp:revision>
  <dcterms:created xsi:type="dcterms:W3CDTF">2026-08-17T16:51:00Z</dcterms:created>
  <dcterms:modified xsi:type="dcterms:W3CDTF">2026-08-19T04:01:00Z</dcterms:modified>
</cp:coreProperties>
</file>