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424B9F" w14:textId="77777777" w:rsidR="00260565" w:rsidRDefault="00260565" w:rsidP="00260565">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PROJECT CONTEXT</w:t>
      </w:r>
    </w:p>
    <w:p w14:paraId="595BE0E9" w14:textId="77777777" w:rsidR="00260565" w:rsidRDefault="00260565" w:rsidP="00260565">
      <w:pPr>
        <w:jc w:val="center"/>
        <w:rPr>
          <w:rFonts w:ascii="Times New Roman" w:eastAsia="Times New Roman" w:hAnsi="Times New Roman" w:cs="Times New Roman"/>
          <w:b/>
          <w:bCs/>
          <w:sz w:val="24"/>
          <w:szCs w:val="24"/>
        </w:rPr>
      </w:pPr>
    </w:p>
    <w:p w14:paraId="34D035CB" w14:textId="77777777" w:rsidR="00260565" w:rsidRDefault="00260565" w:rsidP="00260565">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most schools and colleges, written assessments remain one of the primary ways through which teachers measure what students have learned. Teachers typically prepare essay or short-answer prompts based on the topics covered in a lesson, and students respond by writing their own explanations, arguments, or answers rather than selecting from a fixed set of choices. Once a student written response is submitted, whether through a handwritten paper, a printed activity sheet, or a document submitted online, the teacher reads the response and compares it against a rubric or an answer key to determine the appropriate score. This process is repeated individually for every student in a class, and the teacher is expected to apply the same standard of judgment across all responses submitted for the same activity or examination (</w:t>
      </w:r>
      <w:proofErr w:type="spellStart"/>
      <w:r>
        <w:rPr>
          <w:rFonts w:ascii="Times New Roman" w:eastAsia="Times New Roman" w:hAnsi="Times New Roman" w:cs="Times New Roman"/>
          <w:sz w:val="24"/>
          <w:szCs w:val="24"/>
        </w:rPr>
        <w:t>Sutisna</w:t>
      </w:r>
      <w:proofErr w:type="spellEnd"/>
      <w:r>
        <w:rPr>
          <w:rFonts w:ascii="Times New Roman" w:eastAsia="Times New Roman" w:hAnsi="Times New Roman" w:cs="Times New Roman"/>
          <w:sz w:val="24"/>
          <w:szCs w:val="24"/>
        </w:rPr>
        <w:t xml:space="preserve"> et al., 2023).</w:t>
      </w:r>
    </w:p>
    <w:p w14:paraId="32AC7CD8" w14:textId="77777777" w:rsidR="00260565" w:rsidRDefault="00260565" w:rsidP="00260565">
      <w:pPr>
        <w:jc w:val="both"/>
        <w:rPr>
          <w:rFonts w:ascii="Times New Roman" w:eastAsia="Times New Roman" w:hAnsi="Times New Roman" w:cs="Times New Roman"/>
          <w:sz w:val="24"/>
          <w:szCs w:val="24"/>
        </w:rPr>
      </w:pPr>
    </w:p>
    <w:p w14:paraId="1E3E4AFB" w14:textId="741D1CDB" w:rsidR="00260565" w:rsidRDefault="00260565" w:rsidP="00260565">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manual approach to scoring, however, becomes difficult to sustain as the number of student submissions increases. A teacher handling several class sections may need to read and evaluate hundreds of essay</w:t>
      </w:r>
      <w:r>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or short-answer responses within a limited period, particularly during examination weeks. Reading each response carefully, applying the rubric consistently, and writing feedback for every student requires considerable time and effort. Fatigue and workload may also cause a teacher's judgment to shift slightly from one response to another, even when the same criteria are being applied, resulting in scores that are not always consistent across students or across different scoring sessions (Ramesh &amp; </w:t>
      </w:r>
      <w:proofErr w:type="spellStart"/>
      <w:r>
        <w:rPr>
          <w:rFonts w:ascii="Times New Roman" w:eastAsia="Times New Roman" w:hAnsi="Times New Roman" w:cs="Times New Roman"/>
          <w:sz w:val="24"/>
          <w:szCs w:val="24"/>
        </w:rPr>
        <w:t>Sanampudi</w:t>
      </w:r>
      <w:proofErr w:type="spellEnd"/>
      <w:r>
        <w:rPr>
          <w:rFonts w:ascii="Times New Roman" w:eastAsia="Times New Roman" w:hAnsi="Times New Roman" w:cs="Times New Roman"/>
          <w:sz w:val="24"/>
          <w:szCs w:val="24"/>
        </w:rPr>
        <w:t>, 2022). These conditions make manual scoring a persistent source of delay in returning results and feedback to students.</w:t>
      </w:r>
    </w:p>
    <w:p w14:paraId="56CF30DC" w14:textId="77777777" w:rsidR="00260565" w:rsidRDefault="00260565" w:rsidP="00260565">
      <w:pPr>
        <w:jc w:val="both"/>
        <w:rPr>
          <w:rFonts w:ascii="Times New Roman" w:eastAsia="Times New Roman" w:hAnsi="Times New Roman" w:cs="Times New Roman"/>
          <w:sz w:val="24"/>
          <w:szCs w:val="24"/>
        </w:rPr>
      </w:pPr>
    </w:p>
    <w:p w14:paraId="6592522B" w14:textId="77777777" w:rsidR="00260565" w:rsidRDefault="00260565" w:rsidP="00260565">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Various tools have already been developed to support or automate the scoring of written responses. Commercial automated essay scoring (AES) systems such as e-rater and </w:t>
      </w:r>
      <w:proofErr w:type="spellStart"/>
      <w:r>
        <w:rPr>
          <w:rFonts w:ascii="Times New Roman" w:eastAsia="Times New Roman" w:hAnsi="Times New Roman" w:cs="Times New Roman"/>
          <w:sz w:val="24"/>
          <w:szCs w:val="24"/>
        </w:rPr>
        <w:t>IntelliMetric</w:t>
      </w:r>
      <w:proofErr w:type="spellEnd"/>
      <w:r>
        <w:rPr>
          <w:rFonts w:ascii="Times New Roman" w:eastAsia="Times New Roman" w:hAnsi="Times New Roman" w:cs="Times New Roman"/>
          <w:sz w:val="24"/>
          <w:szCs w:val="24"/>
        </w:rPr>
        <w:t xml:space="preserve"> have been used for decades to score essays for large-scale examinations, applying natural language processing techniques to analyze features such as grammar, organization, and content (</w:t>
      </w:r>
      <w:proofErr w:type="spellStart"/>
      <w:r>
        <w:rPr>
          <w:rFonts w:ascii="Times New Roman" w:eastAsia="Times New Roman" w:hAnsi="Times New Roman" w:cs="Times New Roman"/>
          <w:sz w:val="24"/>
          <w:szCs w:val="24"/>
        </w:rPr>
        <w:t>Ifenthaler</w:t>
      </w:r>
      <w:proofErr w:type="spellEnd"/>
      <w:r>
        <w:rPr>
          <w:rFonts w:ascii="Times New Roman" w:eastAsia="Times New Roman" w:hAnsi="Times New Roman" w:cs="Times New Roman"/>
          <w:sz w:val="24"/>
          <w:szCs w:val="24"/>
        </w:rPr>
        <w:t xml:space="preserve">, 2023). More recently, general-purpose writing tools such as Grammarly, along with applications built around large language models, have also been used informally by some educators to check or comment on student writing. Systematic reviews of these developments show that AES research has grown from early statistical and rule-based systems into approaches that use machine learning and deep learning models to predict scores based on patterns learned from previously graded essays (Ramesh &amp; </w:t>
      </w:r>
      <w:proofErr w:type="spellStart"/>
      <w:r>
        <w:rPr>
          <w:rFonts w:ascii="Times New Roman" w:eastAsia="Times New Roman" w:hAnsi="Times New Roman" w:cs="Times New Roman"/>
          <w:sz w:val="24"/>
          <w:szCs w:val="24"/>
        </w:rPr>
        <w:t>Sanampudi</w:t>
      </w:r>
      <w:proofErr w:type="spellEnd"/>
      <w:r>
        <w:rPr>
          <w:rFonts w:ascii="Times New Roman" w:eastAsia="Times New Roman" w:hAnsi="Times New Roman" w:cs="Times New Roman"/>
          <w:sz w:val="24"/>
          <w:szCs w:val="24"/>
        </w:rPr>
        <w:t>, 2022).</w:t>
      </w:r>
    </w:p>
    <w:p w14:paraId="39672B31" w14:textId="77777777" w:rsidR="00260565" w:rsidRDefault="00260565" w:rsidP="00260565">
      <w:pPr>
        <w:jc w:val="both"/>
        <w:rPr>
          <w:rFonts w:ascii="Times New Roman" w:eastAsia="Times New Roman" w:hAnsi="Times New Roman" w:cs="Times New Roman"/>
          <w:sz w:val="24"/>
          <w:szCs w:val="24"/>
        </w:rPr>
      </w:pPr>
    </w:p>
    <w:p w14:paraId="45F0BC09" w14:textId="77777777" w:rsidR="00260565" w:rsidRDefault="00260565" w:rsidP="00260565">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Despite these developments, several limitations restrict how accessible existing tools are to ordinary classroom settings. Established AES systems such as e-rater and </w:t>
      </w:r>
      <w:proofErr w:type="spellStart"/>
      <w:r>
        <w:rPr>
          <w:rFonts w:ascii="Times New Roman" w:eastAsia="Times New Roman" w:hAnsi="Times New Roman" w:cs="Times New Roman"/>
          <w:sz w:val="24"/>
          <w:szCs w:val="24"/>
        </w:rPr>
        <w:t>IntelliMetric</w:t>
      </w:r>
      <w:proofErr w:type="spellEnd"/>
      <w:r>
        <w:rPr>
          <w:rFonts w:ascii="Times New Roman" w:eastAsia="Times New Roman" w:hAnsi="Times New Roman" w:cs="Times New Roman"/>
          <w:sz w:val="24"/>
          <w:szCs w:val="24"/>
        </w:rPr>
        <w:t xml:space="preserve"> were primarily built for large-scale standardized examinations and are typically proprietary and costly to license, making them difficult for individual schools or teachers to adopt directly (</w:t>
      </w:r>
      <w:proofErr w:type="spellStart"/>
      <w:r>
        <w:rPr>
          <w:rFonts w:ascii="Times New Roman" w:eastAsia="Times New Roman" w:hAnsi="Times New Roman" w:cs="Times New Roman"/>
          <w:sz w:val="24"/>
          <w:szCs w:val="24"/>
        </w:rPr>
        <w:t>Ifenthaler</w:t>
      </w:r>
      <w:proofErr w:type="spellEnd"/>
      <w:r>
        <w:rPr>
          <w:rFonts w:ascii="Times New Roman" w:eastAsia="Times New Roman" w:hAnsi="Times New Roman" w:cs="Times New Roman"/>
          <w:sz w:val="24"/>
          <w:szCs w:val="24"/>
        </w:rPr>
        <w:t xml:space="preserve">, 2023). Many of these systems are also not designed to connect with the Virtual Learning Environments (VLEs) that schools already use, and general-purpose writing tools are not built specifically to produce a scored result against a defined rubric or scoring scale. In addition, an </w:t>
      </w:r>
      <w:r>
        <w:rPr>
          <w:rFonts w:ascii="Times New Roman" w:eastAsia="Times New Roman" w:hAnsi="Times New Roman" w:cs="Times New Roman"/>
          <w:sz w:val="24"/>
          <w:szCs w:val="24"/>
        </w:rPr>
        <w:lastRenderedPageBreak/>
        <w:t>automated score should not completely replace a teacher's judgment, since students may give unique or unexpected answers that require human interpretation (Yang et al., 2024). These gaps indicate a need for a scoring tool that focuses primarily on essay scoring, that a teacher can access directly or connect to an existing VLE through an API, and that keeps a teacher's review as part of the scoring process rather than removing it.</w:t>
      </w:r>
    </w:p>
    <w:p w14:paraId="3F6A78D1" w14:textId="77777777" w:rsidR="00260565" w:rsidRDefault="00260565" w:rsidP="00260565">
      <w:pPr>
        <w:jc w:val="both"/>
        <w:rPr>
          <w:rFonts w:ascii="Times New Roman" w:eastAsia="Times New Roman" w:hAnsi="Times New Roman" w:cs="Times New Roman"/>
          <w:sz w:val="24"/>
          <w:szCs w:val="24"/>
        </w:rPr>
      </w:pPr>
    </w:p>
    <w:p w14:paraId="72A9B1B4" w14:textId="77777777" w:rsidR="00260565" w:rsidRDefault="00260565" w:rsidP="00260565">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this context, the researchers propose the development of an Automated Essay &amp; Short-Answer Scoring Engine, a scoring service intended primarily for evaluating essay-type student written responses, with short-answer scoring considered an optional extended feature. The proposed system is intended for use by teachers, either through a web application where they may submit or upload student responses, or through an API that may be integrated with an existing VLE. Given a student's written response, the scoring engine is expected to process the text and generate a predicted score together with accompanying feedback, which the teacher may then review before it is finalized. Through this system, the study aims to provide teachers with an additional tool that can help reduce the time spent on evaluating open-ended written responses while keeping teachers involved in the assessment process.</w:t>
      </w:r>
    </w:p>
    <w:p w14:paraId="7313470A" w14:textId="77777777" w:rsidR="00260565" w:rsidRDefault="00260565" w:rsidP="00260565">
      <w:pPr>
        <w:rPr>
          <w:rFonts w:ascii="Times New Roman" w:eastAsia="Times New Roman" w:hAnsi="Times New Roman" w:cs="Times New Roman"/>
          <w:sz w:val="24"/>
          <w:szCs w:val="24"/>
        </w:rPr>
      </w:pPr>
    </w:p>
    <w:p w14:paraId="45994631" w14:textId="77777777" w:rsidR="00260565" w:rsidRDefault="00260565" w:rsidP="0026056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REFERENCES</w:t>
      </w:r>
    </w:p>
    <w:p w14:paraId="24268D82" w14:textId="77777777" w:rsidR="00260565" w:rsidRDefault="00260565" w:rsidP="00260565">
      <w:pPr>
        <w:ind w:left="720"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Ifenthaler</w:t>
      </w:r>
      <w:proofErr w:type="spellEnd"/>
      <w:r>
        <w:rPr>
          <w:rFonts w:ascii="Times New Roman" w:eastAsia="Times New Roman" w:hAnsi="Times New Roman" w:cs="Times New Roman"/>
          <w:sz w:val="24"/>
          <w:szCs w:val="24"/>
        </w:rPr>
        <w:t>, D. (2023). Automated essay scoring systems. In O. Zawacki-Richter &amp; I. Jung (Eds.), Handbook of open, distance and digital education (pp. 1057–1071). Springer. https://doi.org/10.1007/978-981-19-2080-6_59</w:t>
      </w:r>
    </w:p>
    <w:p w14:paraId="760F878B" w14:textId="77777777" w:rsidR="00260565" w:rsidRDefault="00260565" w:rsidP="00260565">
      <w:pPr>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Ramesh, D., &amp; </w:t>
      </w:r>
      <w:proofErr w:type="spellStart"/>
      <w:r>
        <w:rPr>
          <w:rFonts w:ascii="Times New Roman" w:eastAsia="Times New Roman" w:hAnsi="Times New Roman" w:cs="Times New Roman"/>
          <w:sz w:val="24"/>
          <w:szCs w:val="24"/>
        </w:rPr>
        <w:t>Sanampudi</w:t>
      </w:r>
      <w:proofErr w:type="spellEnd"/>
      <w:r>
        <w:rPr>
          <w:rFonts w:ascii="Times New Roman" w:eastAsia="Times New Roman" w:hAnsi="Times New Roman" w:cs="Times New Roman"/>
          <w:sz w:val="24"/>
          <w:szCs w:val="24"/>
        </w:rPr>
        <w:t xml:space="preserve">, S. K. (2022). An </w:t>
      </w:r>
      <w:proofErr w:type="gramStart"/>
      <w:r>
        <w:rPr>
          <w:rFonts w:ascii="Times New Roman" w:eastAsia="Times New Roman" w:hAnsi="Times New Roman" w:cs="Times New Roman"/>
          <w:sz w:val="24"/>
          <w:szCs w:val="24"/>
        </w:rPr>
        <w:t>automated essay scoring systems</w:t>
      </w:r>
      <w:proofErr w:type="gramEnd"/>
      <w:r>
        <w:rPr>
          <w:rFonts w:ascii="Times New Roman" w:eastAsia="Times New Roman" w:hAnsi="Times New Roman" w:cs="Times New Roman"/>
          <w:sz w:val="24"/>
          <w:szCs w:val="24"/>
        </w:rPr>
        <w:t>: A systematic literature review. Artificial Intelligence Review, 55(3), 2495–2527. https://doi.org/10.1007/s10462-021-10068-2</w:t>
      </w:r>
    </w:p>
    <w:p w14:paraId="4CCFDF19" w14:textId="77777777" w:rsidR="00260565" w:rsidRDefault="00260565" w:rsidP="00260565">
      <w:pPr>
        <w:ind w:left="720"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Sutisna</w:t>
      </w:r>
      <w:proofErr w:type="spellEnd"/>
      <w:r>
        <w:rPr>
          <w:rFonts w:ascii="Times New Roman" w:eastAsia="Times New Roman" w:hAnsi="Times New Roman" w:cs="Times New Roman"/>
          <w:sz w:val="24"/>
          <w:szCs w:val="24"/>
        </w:rPr>
        <w:t xml:space="preserve">, M., </w:t>
      </w:r>
      <w:proofErr w:type="spellStart"/>
      <w:r>
        <w:rPr>
          <w:rFonts w:ascii="Times New Roman" w:eastAsia="Times New Roman" w:hAnsi="Times New Roman" w:cs="Times New Roman"/>
          <w:sz w:val="24"/>
          <w:szCs w:val="24"/>
        </w:rPr>
        <w:t>Suryadi</w:t>
      </w:r>
      <w:proofErr w:type="spellEnd"/>
      <w:r>
        <w:rPr>
          <w:rFonts w:ascii="Times New Roman" w:eastAsia="Times New Roman" w:hAnsi="Times New Roman" w:cs="Times New Roman"/>
          <w:sz w:val="24"/>
          <w:szCs w:val="24"/>
        </w:rPr>
        <w:t>, D., &amp; others. (2023). Automatic essay exam scoring system: A systematic literature review. Procedia Computer Science, 216, 551–560. https://doi.org/10.1016/j.procs.2022.12.166</w:t>
      </w:r>
    </w:p>
    <w:p w14:paraId="5DAEA8CF" w14:textId="77777777" w:rsidR="00260565" w:rsidRDefault="00260565" w:rsidP="00260565">
      <w:pPr>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Yang, K., </w:t>
      </w:r>
      <w:proofErr w:type="spellStart"/>
      <w:r>
        <w:rPr>
          <w:rFonts w:ascii="Times New Roman" w:eastAsia="Times New Roman" w:hAnsi="Times New Roman" w:cs="Times New Roman"/>
          <w:sz w:val="24"/>
          <w:szCs w:val="24"/>
        </w:rPr>
        <w:t>Raković</w:t>
      </w:r>
      <w:proofErr w:type="spellEnd"/>
      <w:r>
        <w:rPr>
          <w:rFonts w:ascii="Times New Roman" w:eastAsia="Times New Roman" w:hAnsi="Times New Roman" w:cs="Times New Roman"/>
          <w:sz w:val="24"/>
          <w:szCs w:val="24"/>
        </w:rPr>
        <w:t xml:space="preserve">, M., Li, Y., Guan, Q., </w:t>
      </w:r>
      <w:proofErr w:type="spellStart"/>
      <w:r>
        <w:rPr>
          <w:rFonts w:ascii="Times New Roman" w:eastAsia="Times New Roman" w:hAnsi="Times New Roman" w:cs="Times New Roman"/>
          <w:sz w:val="24"/>
          <w:szCs w:val="24"/>
        </w:rPr>
        <w:t>Gašević</w:t>
      </w:r>
      <w:proofErr w:type="spellEnd"/>
      <w:r>
        <w:rPr>
          <w:rFonts w:ascii="Times New Roman" w:eastAsia="Times New Roman" w:hAnsi="Times New Roman" w:cs="Times New Roman"/>
          <w:sz w:val="24"/>
          <w:szCs w:val="24"/>
        </w:rPr>
        <w:t>, D., &amp; Chen, G. (2024). Unveiling the tapestry of automated essay scoring: A comprehensive investigation of accuracy, fairness, and generalizability. Proceedings of the AAAI Conference on Artificial Intelligence, 38(20), 22466–22474. https://doi.org/10.1609/aaai.v38i20.30254</w:t>
      </w:r>
    </w:p>
    <w:p w14:paraId="108EE82A" w14:textId="77777777" w:rsidR="00260565" w:rsidRDefault="00260565" w:rsidP="00260565"/>
    <w:p w14:paraId="00000013" w14:textId="38355D4C" w:rsidR="001124C6" w:rsidRPr="00260565" w:rsidRDefault="001124C6" w:rsidP="00260565"/>
    <w:sectPr w:rsidR="001124C6" w:rsidRPr="0026056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DC7F8A1E-7A07-40EE-AB98-04D0BAFF40C2}"/>
  </w:font>
  <w:font w:name="Cambria">
    <w:panose1 w:val="02040503050406030204"/>
    <w:charset w:val="00"/>
    <w:family w:val="roman"/>
    <w:pitch w:val="variable"/>
    <w:sig w:usb0="E00006FF" w:usb1="420024FF" w:usb2="02000000" w:usb3="00000000" w:csb0="0000019F" w:csb1="00000000"/>
    <w:embedRegular r:id="rId2" w:fontKey="{304F705A-F79F-4DA0-83D6-7B4081B3C44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24C6"/>
    <w:rsid w:val="001124C6"/>
    <w:rsid w:val="00260565"/>
    <w:rsid w:val="003F480E"/>
    <w:rsid w:val="00757AEE"/>
  </w:rsids>
  <m:mathPr>
    <m:mathFont m:val="Cambria Math"/>
    <m:brkBin m:val="before"/>
    <m:brkBinSub m:val="--"/>
    <m:smallFrac m:val="0"/>
    <m:dispDef/>
    <m:lMargin m:val="0"/>
    <m:rMargin m:val="0"/>
    <m:defJc m:val="centerGroup"/>
    <m:wrapIndent m:val="1440"/>
    <m:intLim m:val="subSup"/>
    <m:naryLim m:val="undOvr"/>
  </m:mathPr>
  <w:themeFontLang w:val="en-H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20952"/>
  <w15:docId w15:val="{DA7BD004-A3D7-49D3-9AAC-CFE177BA4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HK"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TotalTime>
  <Pages>2</Pages>
  <Words>829</Words>
  <Characters>4726</Characters>
  <Application>Microsoft Office Word</Application>
  <DocSecurity>0</DocSecurity>
  <Lines>39</Lines>
  <Paragraphs>11</Paragraphs>
  <ScaleCrop>false</ScaleCrop>
  <Company/>
  <LinksUpToDate>false</LinksUpToDate>
  <CharactersWithSpaces>5544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AJ Jimboy Aniciete</cp:lastModifiedBy>
  <cp:revision>3</cp:revision>
  <dcterms:created xsi:type="dcterms:W3CDTF">2026-08-18T15:09:00Z</dcterms:created>
  <dcterms:modified xsi:type="dcterms:W3CDTF">2026-08-18T15:41:00Z</dcterms:modified>
</cp:coreProperties>
</file>