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8F776" w14:textId="77777777" w:rsidR="00757AEE" w:rsidRDefault="00757AEE" w:rsidP="00757AEE">
      <w:pPr>
        <w:jc w:val="center"/>
        <w:rPr>
          <w:rFonts w:ascii="Times New Roman" w:eastAsia="Times New Roman" w:hAnsi="Times New Roman" w:cs="Times New Roman"/>
          <w:b/>
          <w:bCs/>
          <w:sz w:val="24"/>
          <w:szCs w:val="24"/>
        </w:rPr>
      </w:pPr>
      <w:r w:rsidRPr="00757AEE">
        <w:rPr>
          <w:rFonts w:ascii="Times New Roman" w:eastAsia="Times New Roman" w:hAnsi="Times New Roman" w:cs="Times New Roman"/>
          <w:b/>
          <w:bCs/>
          <w:sz w:val="24"/>
          <w:szCs w:val="24"/>
        </w:rPr>
        <w:t>PROJECT CONTEXT</w:t>
      </w:r>
    </w:p>
    <w:p w14:paraId="19797CE8" w14:textId="77777777" w:rsidR="00757AEE" w:rsidRPr="00757AEE" w:rsidRDefault="00757AEE" w:rsidP="00757AEE">
      <w:pPr>
        <w:jc w:val="center"/>
        <w:rPr>
          <w:rFonts w:ascii="Times New Roman" w:eastAsia="Times New Roman" w:hAnsi="Times New Roman" w:cs="Times New Roman"/>
          <w:b/>
          <w:bCs/>
          <w:sz w:val="24"/>
          <w:szCs w:val="24"/>
        </w:rPr>
      </w:pPr>
    </w:p>
    <w:p w14:paraId="4E524970" w14:textId="77777777" w:rsidR="00757AEE" w:rsidRDefault="00757AEE" w:rsidP="00757AEE">
      <w:pPr>
        <w:ind w:firstLine="720"/>
        <w:jc w:val="both"/>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sidRPr="00757AEE">
        <w:rPr>
          <w:rFonts w:ascii="Times New Roman" w:eastAsia="Times New Roman" w:hAnsi="Times New Roman" w:cs="Times New Roman"/>
          <w:sz w:val="24"/>
          <w:szCs w:val="24"/>
        </w:rPr>
        <w:t>Sutisna</w:t>
      </w:r>
      <w:proofErr w:type="spellEnd"/>
      <w:r w:rsidRPr="00757AEE">
        <w:rPr>
          <w:rFonts w:ascii="Times New Roman" w:eastAsia="Times New Roman" w:hAnsi="Times New Roman" w:cs="Times New Roman"/>
          <w:sz w:val="24"/>
          <w:szCs w:val="24"/>
        </w:rPr>
        <w:t xml:space="preserve"> et al., 2023).</w:t>
      </w:r>
    </w:p>
    <w:p w14:paraId="272129C2" w14:textId="77777777" w:rsidR="00757AEE" w:rsidRPr="00757AEE" w:rsidRDefault="00757AEE" w:rsidP="00757AEE">
      <w:pPr>
        <w:jc w:val="both"/>
        <w:rPr>
          <w:rFonts w:ascii="Times New Roman" w:eastAsia="Times New Roman" w:hAnsi="Times New Roman" w:cs="Times New Roman"/>
          <w:sz w:val="24"/>
          <w:szCs w:val="24"/>
        </w:rPr>
      </w:pPr>
    </w:p>
    <w:p w14:paraId="45D8267A" w14:textId="1FADA5A3" w:rsidR="00757AEE" w:rsidRDefault="00757AEE" w:rsidP="00757AEE">
      <w:pPr>
        <w:ind w:firstLine="720"/>
        <w:jc w:val="both"/>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This manual approach to scoring, however, becomes difficult to sustain as the number of student submissions increases. A teacher handling several class sections may need to read and evaluate hundreds of </w:t>
      </w:r>
      <w:proofErr w:type="gramStart"/>
      <w:r w:rsidRPr="00757AEE">
        <w:rPr>
          <w:rFonts w:ascii="Times New Roman" w:eastAsia="Times New Roman" w:hAnsi="Times New Roman" w:cs="Times New Roman"/>
          <w:sz w:val="24"/>
          <w:szCs w:val="24"/>
        </w:rPr>
        <w:t>essay</w:t>
      </w:r>
      <w:proofErr w:type="gramEnd"/>
      <w:r w:rsidRPr="00757AEE">
        <w:rPr>
          <w:rFonts w:ascii="Times New Roman" w:eastAsia="Times New Roman" w:hAnsi="Times New Roman" w:cs="Times New Roman"/>
          <w:sz w:val="24"/>
          <w:szCs w:val="24"/>
        </w:rPr>
        <w:t xml:space="preserve">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sidRPr="00757AEE">
        <w:rPr>
          <w:rFonts w:ascii="Times New Roman" w:eastAsia="Times New Roman" w:hAnsi="Times New Roman" w:cs="Times New Roman"/>
          <w:sz w:val="24"/>
          <w:szCs w:val="24"/>
        </w:rPr>
        <w:t>Sanampudi</w:t>
      </w:r>
      <w:proofErr w:type="spellEnd"/>
      <w:r w:rsidRPr="00757AEE">
        <w:rPr>
          <w:rFonts w:ascii="Times New Roman" w:eastAsia="Times New Roman" w:hAnsi="Times New Roman" w:cs="Times New Roman"/>
          <w:sz w:val="24"/>
          <w:szCs w:val="24"/>
        </w:rPr>
        <w:t>, 2022). These conditions make manual scoring a persistent source of delay in returning results and feedback to students.</w:t>
      </w:r>
    </w:p>
    <w:p w14:paraId="7D73448D" w14:textId="77777777" w:rsidR="00757AEE" w:rsidRPr="00757AEE" w:rsidRDefault="00757AEE" w:rsidP="00757AEE">
      <w:pPr>
        <w:jc w:val="both"/>
        <w:rPr>
          <w:rFonts w:ascii="Times New Roman" w:eastAsia="Times New Roman" w:hAnsi="Times New Roman" w:cs="Times New Roman"/>
          <w:sz w:val="24"/>
          <w:szCs w:val="24"/>
        </w:rPr>
      </w:pPr>
    </w:p>
    <w:p w14:paraId="1048F987" w14:textId="77777777" w:rsidR="00757AEE" w:rsidRDefault="00757AEE" w:rsidP="00757AEE">
      <w:pPr>
        <w:ind w:firstLine="720"/>
        <w:jc w:val="both"/>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sidRPr="00757AEE">
        <w:rPr>
          <w:rFonts w:ascii="Times New Roman" w:eastAsia="Times New Roman" w:hAnsi="Times New Roman" w:cs="Times New Roman"/>
          <w:sz w:val="24"/>
          <w:szCs w:val="24"/>
        </w:rPr>
        <w:t>IntelliMetric</w:t>
      </w:r>
      <w:proofErr w:type="spellEnd"/>
      <w:r w:rsidRPr="00757AEE">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(Attali &amp; Burstein, 2006; Rudner, Garcia, &amp; Welch, 2006).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sidRPr="00757AEE">
        <w:rPr>
          <w:rFonts w:ascii="Times New Roman" w:eastAsia="Times New Roman" w:hAnsi="Times New Roman" w:cs="Times New Roman"/>
          <w:sz w:val="24"/>
          <w:szCs w:val="24"/>
        </w:rPr>
        <w:t>Sanampudi</w:t>
      </w:r>
      <w:proofErr w:type="spellEnd"/>
      <w:r w:rsidRPr="00757AEE">
        <w:rPr>
          <w:rFonts w:ascii="Times New Roman" w:eastAsia="Times New Roman" w:hAnsi="Times New Roman" w:cs="Times New Roman"/>
          <w:sz w:val="24"/>
          <w:szCs w:val="24"/>
        </w:rPr>
        <w:t>, 2022).</w:t>
      </w:r>
    </w:p>
    <w:p w14:paraId="5C48A67A" w14:textId="77777777" w:rsidR="00757AEE" w:rsidRPr="00757AEE" w:rsidRDefault="00757AEE" w:rsidP="00757AEE">
      <w:pPr>
        <w:jc w:val="both"/>
        <w:rPr>
          <w:rFonts w:ascii="Times New Roman" w:eastAsia="Times New Roman" w:hAnsi="Times New Roman" w:cs="Times New Roman"/>
          <w:sz w:val="24"/>
          <w:szCs w:val="24"/>
        </w:rPr>
      </w:pPr>
    </w:p>
    <w:p w14:paraId="5A997666" w14:textId="77777777" w:rsidR="00757AEE" w:rsidRDefault="00757AEE" w:rsidP="00757AEE">
      <w:pPr>
        <w:ind w:firstLine="720"/>
        <w:jc w:val="both"/>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sidRPr="00757AEE">
        <w:rPr>
          <w:rFonts w:ascii="Times New Roman" w:eastAsia="Times New Roman" w:hAnsi="Times New Roman" w:cs="Times New Roman"/>
          <w:sz w:val="24"/>
          <w:szCs w:val="24"/>
        </w:rPr>
        <w:t>IntelliMetric</w:t>
      </w:r>
      <w:proofErr w:type="spellEnd"/>
      <w:r w:rsidRPr="00757AEE">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(Rudner, Garcia, &amp; Welch, 2006). Many of these systems are also not designed to connect with the Virtual Learning Environments (VLEs) that schools already use, and general-purpose writing tools are not built specifically to produce a scored result against a defined rubric or scoring scale. In addition, </w:t>
      </w:r>
      <w:r w:rsidRPr="00757AEE">
        <w:rPr>
          <w:rFonts w:ascii="Times New Roman" w:eastAsia="Times New Roman" w:hAnsi="Times New Roman" w:cs="Times New Roman"/>
          <w:sz w:val="24"/>
          <w:szCs w:val="24"/>
        </w:rPr>
        <w:lastRenderedPageBreak/>
        <w:t>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0A48158E" w14:textId="77777777" w:rsidR="00757AEE" w:rsidRPr="00757AEE" w:rsidRDefault="00757AEE" w:rsidP="00757AEE">
      <w:pPr>
        <w:jc w:val="both"/>
        <w:rPr>
          <w:rFonts w:ascii="Times New Roman" w:eastAsia="Times New Roman" w:hAnsi="Times New Roman" w:cs="Times New Roman"/>
          <w:sz w:val="24"/>
          <w:szCs w:val="24"/>
        </w:rPr>
      </w:pPr>
    </w:p>
    <w:p w14:paraId="4C601666" w14:textId="77777777" w:rsidR="00757AEE" w:rsidRPr="00757AEE" w:rsidRDefault="00757AEE" w:rsidP="00757AEE">
      <w:pPr>
        <w:ind w:firstLine="720"/>
        <w:jc w:val="both"/>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In this context, the researchers propose the development of an Automated Essay &amp; Short-Answer Scoring Engine, a scoring service intended primarily for evaluating essay-type 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6E7FF4A6" w14:textId="77777777" w:rsidR="00757AEE" w:rsidRDefault="00757AEE" w:rsidP="00757AEE">
      <w:pPr>
        <w:rPr>
          <w:rFonts w:ascii="Times New Roman" w:eastAsia="Times New Roman" w:hAnsi="Times New Roman" w:cs="Times New Roman"/>
          <w:sz w:val="24"/>
          <w:szCs w:val="24"/>
        </w:rPr>
      </w:pPr>
    </w:p>
    <w:p w14:paraId="562DCE52" w14:textId="1088853A" w:rsidR="00757AEE" w:rsidRPr="00757AEE" w:rsidRDefault="00757AEE" w:rsidP="00757AE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72AA084B" w14:textId="77777777" w:rsidR="00757AEE" w:rsidRPr="00757AEE" w:rsidRDefault="00757AEE" w:rsidP="00757AEE">
      <w:pPr>
        <w:ind w:left="720" w:hanging="720"/>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Attali, Y., &amp; Burstein, J. (2006). Automated essay scoring with e-rater® v.2. The Journal of Technology, Learning and Assessment, 4(3).</w:t>
      </w:r>
    </w:p>
    <w:p w14:paraId="000D1245" w14:textId="77777777" w:rsidR="00757AEE" w:rsidRPr="00757AEE" w:rsidRDefault="00757AEE" w:rsidP="00757AEE">
      <w:pPr>
        <w:ind w:left="720" w:hanging="720"/>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Ramesh, D., &amp; </w:t>
      </w:r>
      <w:proofErr w:type="spellStart"/>
      <w:r w:rsidRPr="00757AEE">
        <w:rPr>
          <w:rFonts w:ascii="Times New Roman" w:eastAsia="Times New Roman" w:hAnsi="Times New Roman" w:cs="Times New Roman"/>
          <w:sz w:val="24"/>
          <w:szCs w:val="24"/>
        </w:rPr>
        <w:t>Sanampudi</w:t>
      </w:r>
      <w:proofErr w:type="spellEnd"/>
      <w:r w:rsidRPr="00757AEE">
        <w:rPr>
          <w:rFonts w:ascii="Times New Roman" w:eastAsia="Times New Roman" w:hAnsi="Times New Roman" w:cs="Times New Roman"/>
          <w:sz w:val="24"/>
          <w:szCs w:val="24"/>
        </w:rPr>
        <w:t xml:space="preserve">, S. K. (2022). An </w:t>
      </w:r>
      <w:proofErr w:type="gramStart"/>
      <w:r w:rsidRPr="00757AEE">
        <w:rPr>
          <w:rFonts w:ascii="Times New Roman" w:eastAsia="Times New Roman" w:hAnsi="Times New Roman" w:cs="Times New Roman"/>
          <w:sz w:val="24"/>
          <w:szCs w:val="24"/>
        </w:rPr>
        <w:t>automated essay scoring systems</w:t>
      </w:r>
      <w:proofErr w:type="gramEnd"/>
      <w:r w:rsidRPr="00757AEE">
        <w:rPr>
          <w:rFonts w:ascii="Times New Roman" w:eastAsia="Times New Roman" w:hAnsi="Times New Roman" w:cs="Times New Roman"/>
          <w:sz w:val="24"/>
          <w:szCs w:val="24"/>
        </w:rPr>
        <w:t>: A systematic literature review. Artificial Intelligence Review, 55(3), 2495–2527. https://doi.org/10.1007/s10462-021-10068-2</w:t>
      </w:r>
    </w:p>
    <w:p w14:paraId="10829FA2" w14:textId="77777777" w:rsidR="00757AEE" w:rsidRPr="00757AEE" w:rsidRDefault="00757AEE" w:rsidP="00757AEE">
      <w:pPr>
        <w:ind w:left="720" w:hanging="720"/>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Rudner, L. M., Garcia, V., &amp; Welch, C. (2006). An evaluation of the </w:t>
      </w:r>
      <w:proofErr w:type="spellStart"/>
      <w:r w:rsidRPr="00757AEE">
        <w:rPr>
          <w:rFonts w:ascii="Times New Roman" w:eastAsia="Times New Roman" w:hAnsi="Times New Roman" w:cs="Times New Roman"/>
          <w:sz w:val="24"/>
          <w:szCs w:val="24"/>
        </w:rPr>
        <w:t>IntelliMetric</w:t>
      </w:r>
      <w:proofErr w:type="spellEnd"/>
      <w:r w:rsidRPr="00757AEE">
        <w:rPr>
          <w:rFonts w:ascii="Times New Roman" w:eastAsia="Times New Roman" w:hAnsi="Times New Roman" w:cs="Times New Roman"/>
          <w:sz w:val="24"/>
          <w:szCs w:val="24"/>
        </w:rPr>
        <w:t>® essay scoring system using responses to GMAT analytical writing assessment prompts. Journal of Technology, Learning, and Assessment, 4(4), 1–21.</w:t>
      </w:r>
    </w:p>
    <w:p w14:paraId="7E32D707" w14:textId="77777777" w:rsidR="00757AEE" w:rsidRPr="00757AEE" w:rsidRDefault="00757AEE" w:rsidP="00757AEE">
      <w:pPr>
        <w:ind w:left="720" w:hanging="720"/>
        <w:rPr>
          <w:rFonts w:ascii="Times New Roman" w:eastAsia="Times New Roman" w:hAnsi="Times New Roman" w:cs="Times New Roman"/>
          <w:sz w:val="24"/>
          <w:szCs w:val="24"/>
        </w:rPr>
      </w:pPr>
      <w:proofErr w:type="spellStart"/>
      <w:r w:rsidRPr="00757AEE">
        <w:rPr>
          <w:rFonts w:ascii="Times New Roman" w:eastAsia="Times New Roman" w:hAnsi="Times New Roman" w:cs="Times New Roman"/>
          <w:sz w:val="24"/>
          <w:szCs w:val="24"/>
        </w:rPr>
        <w:t>Sutisna</w:t>
      </w:r>
      <w:proofErr w:type="spellEnd"/>
      <w:r w:rsidRPr="00757AEE">
        <w:rPr>
          <w:rFonts w:ascii="Times New Roman" w:eastAsia="Times New Roman" w:hAnsi="Times New Roman" w:cs="Times New Roman"/>
          <w:sz w:val="24"/>
          <w:szCs w:val="24"/>
        </w:rPr>
        <w:t xml:space="preserve">, M., </w:t>
      </w:r>
      <w:proofErr w:type="spellStart"/>
      <w:r w:rsidRPr="00757AEE">
        <w:rPr>
          <w:rFonts w:ascii="Times New Roman" w:eastAsia="Times New Roman" w:hAnsi="Times New Roman" w:cs="Times New Roman"/>
          <w:sz w:val="24"/>
          <w:szCs w:val="24"/>
        </w:rPr>
        <w:t>Suryadi</w:t>
      </w:r>
      <w:proofErr w:type="spellEnd"/>
      <w:r w:rsidRPr="00757AEE">
        <w:rPr>
          <w:rFonts w:ascii="Times New Roman" w:eastAsia="Times New Roman" w:hAnsi="Times New Roman" w:cs="Times New Roman"/>
          <w:sz w:val="24"/>
          <w:szCs w:val="24"/>
        </w:rPr>
        <w:t>, D., &amp; others. (2023). Automatic essay exam scoring system: A systematic literature review. Procedia Computer Science, 216, 551–560. https://doi.org/10.1016/j.procs.2022.12.166</w:t>
      </w:r>
    </w:p>
    <w:p w14:paraId="7F70127B" w14:textId="77777777" w:rsidR="00757AEE" w:rsidRPr="00757AEE" w:rsidRDefault="00757AEE" w:rsidP="00757AEE">
      <w:pPr>
        <w:ind w:left="720" w:hanging="720"/>
        <w:rPr>
          <w:rFonts w:ascii="Times New Roman" w:eastAsia="Times New Roman" w:hAnsi="Times New Roman" w:cs="Times New Roman"/>
          <w:sz w:val="24"/>
          <w:szCs w:val="24"/>
        </w:rPr>
      </w:pPr>
      <w:r w:rsidRPr="00757AEE">
        <w:rPr>
          <w:rFonts w:ascii="Times New Roman" w:eastAsia="Times New Roman" w:hAnsi="Times New Roman" w:cs="Times New Roman"/>
          <w:sz w:val="24"/>
          <w:szCs w:val="24"/>
        </w:rPr>
        <w:t xml:space="preserve">Yang, K., </w:t>
      </w:r>
      <w:proofErr w:type="spellStart"/>
      <w:r w:rsidRPr="00757AEE">
        <w:rPr>
          <w:rFonts w:ascii="Times New Roman" w:eastAsia="Times New Roman" w:hAnsi="Times New Roman" w:cs="Times New Roman"/>
          <w:sz w:val="24"/>
          <w:szCs w:val="24"/>
        </w:rPr>
        <w:t>Raković</w:t>
      </w:r>
      <w:proofErr w:type="spellEnd"/>
      <w:r w:rsidRPr="00757AEE">
        <w:rPr>
          <w:rFonts w:ascii="Times New Roman" w:eastAsia="Times New Roman" w:hAnsi="Times New Roman" w:cs="Times New Roman"/>
          <w:sz w:val="24"/>
          <w:szCs w:val="24"/>
        </w:rPr>
        <w:t xml:space="preserve">, M., Li, Y., Guan, Q., </w:t>
      </w:r>
      <w:proofErr w:type="spellStart"/>
      <w:r w:rsidRPr="00757AEE">
        <w:rPr>
          <w:rFonts w:ascii="Times New Roman" w:eastAsia="Times New Roman" w:hAnsi="Times New Roman" w:cs="Times New Roman"/>
          <w:sz w:val="24"/>
          <w:szCs w:val="24"/>
        </w:rPr>
        <w:t>Gašević</w:t>
      </w:r>
      <w:proofErr w:type="spellEnd"/>
      <w:r w:rsidRPr="00757AEE">
        <w:rPr>
          <w:rFonts w:ascii="Times New Roman" w:eastAsia="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0000013" w14:textId="38355D4C" w:rsidR="001124C6" w:rsidRPr="00757AEE" w:rsidRDefault="001124C6" w:rsidP="00757AEE"/>
    <w:sectPr w:rsidR="001124C6" w:rsidRPr="00757AE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22A0741-BD01-44EB-A3FD-97170C1EC46F}"/>
  </w:font>
  <w:font w:name="Cambria">
    <w:panose1 w:val="02040503050406030204"/>
    <w:charset w:val="00"/>
    <w:family w:val="roman"/>
    <w:pitch w:val="variable"/>
    <w:sig w:usb0="E00006FF" w:usb1="420024FF" w:usb2="02000000" w:usb3="00000000" w:csb0="0000019F" w:csb1="00000000"/>
    <w:embedRegular r:id="rId2" w:fontKey="{007182BB-B10A-414A-B86B-263ECD7CF9C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3F480E"/>
    <w:rsid w:val="00757AEE"/>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858</Words>
  <Characters>4893</Characters>
  <Application>Microsoft Office Word</Application>
  <DocSecurity>0</DocSecurity>
  <Lines>40</Lines>
  <Paragraphs>11</Paragraphs>
  <ScaleCrop>false</ScaleCrop>
  <Company/>
  <LinksUpToDate>false</LinksUpToDate>
  <CharactersWithSpaces>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2</cp:revision>
  <dcterms:created xsi:type="dcterms:W3CDTF">2026-08-18T15:09:00Z</dcterms:created>
  <dcterms:modified xsi:type="dcterms:W3CDTF">2026-08-18T15:14:00Z</dcterms:modified>
</cp:coreProperties>
</file>