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A38" w:rsidRPr="00C36A38" w:rsidRDefault="00877E2B" w:rsidP="00C36A38">
      <w:r>
        <w:t>Surf fishing rods are tall because they cast farther. In general, a surf rod should be 10ft or taller. The stiffness of the rod should be high because a stiff rod is more sensitive and provides better sensitivity and bite detection.</w:t>
      </w:r>
      <w:bookmarkStart w:id="0" w:name="_GoBack"/>
      <w:bookmarkEnd w:id="0"/>
    </w:p>
    <w:p w:rsidR="003F698E" w:rsidRDefault="00877E2B"/>
    <w:sectPr w:rsidR="003F6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28"/>
    <w:rsid w:val="002E68F9"/>
    <w:rsid w:val="00692928"/>
    <w:rsid w:val="007A0885"/>
    <w:rsid w:val="00877E2B"/>
    <w:rsid w:val="00C3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ACE8"/>
  <w15:chartTrackingRefBased/>
  <w15:docId w15:val="{B7B1DE24-BA17-403B-86CF-29BFB3DD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 Ajbar</dc:creator>
  <cp:keywords/>
  <dc:description/>
  <cp:lastModifiedBy>Alae Ajbar</cp:lastModifiedBy>
  <cp:revision>3</cp:revision>
  <dcterms:created xsi:type="dcterms:W3CDTF">2024-02-04T16:28:00Z</dcterms:created>
  <dcterms:modified xsi:type="dcterms:W3CDTF">2024-02-04T17:57:00Z</dcterms:modified>
</cp:coreProperties>
</file>